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0148E" w14:textId="77777777" w:rsidR="0099646E" w:rsidRPr="00782D15" w:rsidRDefault="0099646E" w:rsidP="00510333">
      <w:pPr>
        <w:rPr>
          <w:sz w:val="28"/>
          <w:szCs w:val="28"/>
        </w:rPr>
      </w:pPr>
      <w:bookmarkStart w:id="0" w:name="_GoBack"/>
      <w:bookmarkEnd w:id="0"/>
    </w:p>
    <w:p w14:paraId="5B316C51" w14:textId="77777777" w:rsidR="009874F9" w:rsidRPr="00782D15" w:rsidRDefault="009874F9" w:rsidP="00510333">
      <w:pPr>
        <w:rPr>
          <w:sz w:val="28"/>
          <w:szCs w:val="28"/>
        </w:rPr>
      </w:pPr>
    </w:p>
    <w:p w14:paraId="3F7DF49D" w14:textId="36BF5458" w:rsidR="00320FCD" w:rsidRPr="00782D15" w:rsidRDefault="00320FCD" w:rsidP="008E46C9">
      <w:pPr>
        <w:jc w:val="center"/>
        <w:rPr>
          <w:sz w:val="28"/>
          <w:szCs w:val="28"/>
        </w:rPr>
      </w:pPr>
      <w:r w:rsidRPr="00782D15">
        <w:rPr>
          <w:sz w:val="40"/>
          <w:szCs w:val="40"/>
        </w:rPr>
        <w:t xml:space="preserve">Climate Change </w:t>
      </w:r>
      <w:r w:rsidR="003A5B6D">
        <w:rPr>
          <w:sz w:val="40"/>
          <w:szCs w:val="40"/>
        </w:rPr>
        <w:t xml:space="preserve">Litigation </w:t>
      </w:r>
      <w:r w:rsidRPr="00782D15">
        <w:rPr>
          <w:sz w:val="40"/>
          <w:szCs w:val="40"/>
        </w:rPr>
        <w:t>and Liability Insurance Claims</w:t>
      </w:r>
    </w:p>
    <w:p w14:paraId="5E1DF37D" w14:textId="77777777" w:rsidR="00320FCD" w:rsidRPr="00782D15" w:rsidRDefault="00320FCD" w:rsidP="00320FCD">
      <w:pPr>
        <w:jc w:val="center"/>
        <w:rPr>
          <w:sz w:val="28"/>
          <w:szCs w:val="28"/>
        </w:rPr>
      </w:pPr>
    </w:p>
    <w:p w14:paraId="3E12F50D" w14:textId="77777777" w:rsidR="00320FCD" w:rsidRPr="00782D15" w:rsidRDefault="00320FCD" w:rsidP="00320FCD">
      <w:pPr>
        <w:jc w:val="center"/>
        <w:rPr>
          <w:sz w:val="28"/>
          <w:szCs w:val="28"/>
        </w:rPr>
      </w:pPr>
    </w:p>
    <w:p w14:paraId="784FCA1D" w14:textId="77777777" w:rsidR="00320FCD" w:rsidRPr="00782D15" w:rsidRDefault="00320FCD" w:rsidP="00320FCD">
      <w:pPr>
        <w:jc w:val="center"/>
        <w:rPr>
          <w:sz w:val="28"/>
          <w:szCs w:val="28"/>
        </w:rPr>
      </w:pPr>
    </w:p>
    <w:p w14:paraId="2809A4EF" w14:textId="77777777" w:rsidR="00320FCD" w:rsidRPr="00782D15" w:rsidRDefault="00320FCD" w:rsidP="00320FCD">
      <w:pPr>
        <w:jc w:val="center"/>
        <w:rPr>
          <w:sz w:val="28"/>
          <w:szCs w:val="28"/>
        </w:rPr>
      </w:pPr>
    </w:p>
    <w:p w14:paraId="15093BF8" w14:textId="77777777" w:rsidR="00320FCD" w:rsidRPr="00782D15" w:rsidRDefault="00320FCD" w:rsidP="00320FCD">
      <w:pPr>
        <w:jc w:val="center"/>
        <w:rPr>
          <w:sz w:val="28"/>
          <w:szCs w:val="28"/>
        </w:rPr>
      </w:pPr>
    </w:p>
    <w:p w14:paraId="1E4E5616" w14:textId="77777777" w:rsidR="00320FCD" w:rsidRPr="00782D15" w:rsidRDefault="00320FCD" w:rsidP="00320FCD">
      <w:pPr>
        <w:jc w:val="center"/>
        <w:rPr>
          <w:sz w:val="36"/>
          <w:szCs w:val="36"/>
        </w:rPr>
      </w:pPr>
      <w:r w:rsidRPr="00782D15">
        <w:rPr>
          <w:sz w:val="36"/>
          <w:szCs w:val="36"/>
        </w:rPr>
        <w:t>American College of Coverage Counsel</w:t>
      </w:r>
    </w:p>
    <w:p w14:paraId="3E495E49" w14:textId="77777777" w:rsidR="00320FCD" w:rsidRPr="00782D15" w:rsidRDefault="00320FCD" w:rsidP="00320FCD">
      <w:pPr>
        <w:jc w:val="center"/>
        <w:rPr>
          <w:sz w:val="36"/>
          <w:szCs w:val="36"/>
        </w:rPr>
      </w:pPr>
      <w:r w:rsidRPr="00782D15">
        <w:rPr>
          <w:sz w:val="36"/>
          <w:szCs w:val="36"/>
        </w:rPr>
        <w:t>2019 Law School Symposium</w:t>
      </w:r>
    </w:p>
    <w:p w14:paraId="1FB2FDA0" w14:textId="77777777" w:rsidR="00320FCD" w:rsidRPr="00782D15" w:rsidRDefault="00320FCD" w:rsidP="00320FCD">
      <w:pPr>
        <w:jc w:val="center"/>
        <w:rPr>
          <w:sz w:val="36"/>
          <w:szCs w:val="36"/>
        </w:rPr>
      </w:pPr>
      <w:r w:rsidRPr="00782D15">
        <w:rPr>
          <w:sz w:val="36"/>
          <w:szCs w:val="36"/>
        </w:rPr>
        <w:t>Nova Southeastern University, Shepard Broad College of Law</w:t>
      </w:r>
    </w:p>
    <w:p w14:paraId="30B89434" w14:textId="77777777" w:rsidR="00320FCD" w:rsidRPr="00782D15" w:rsidRDefault="00320FCD" w:rsidP="00320FCD">
      <w:pPr>
        <w:jc w:val="center"/>
        <w:rPr>
          <w:sz w:val="28"/>
          <w:szCs w:val="28"/>
        </w:rPr>
      </w:pPr>
    </w:p>
    <w:p w14:paraId="341A67C2" w14:textId="77777777" w:rsidR="00320FCD" w:rsidRPr="00782D15" w:rsidRDefault="00320FCD" w:rsidP="00320FCD">
      <w:pPr>
        <w:jc w:val="center"/>
        <w:rPr>
          <w:sz w:val="28"/>
          <w:szCs w:val="28"/>
        </w:rPr>
      </w:pPr>
      <w:r w:rsidRPr="00782D15">
        <w:rPr>
          <w:sz w:val="28"/>
          <w:szCs w:val="28"/>
        </w:rPr>
        <w:t>Fort Lauderdale, FL</w:t>
      </w:r>
    </w:p>
    <w:p w14:paraId="740B4149" w14:textId="77777777" w:rsidR="00320FCD" w:rsidRDefault="00320FCD" w:rsidP="00320FCD">
      <w:pPr>
        <w:jc w:val="center"/>
        <w:rPr>
          <w:sz w:val="28"/>
          <w:szCs w:val="28"/>
        </w:rPr>
      </w:pPr>
      <w:r w:rsidRPr="00782D15">
        <w:rPr>
          <w:sz w:val="28"/>
          <w:szCs w:val="28"/>
        </w:rPr>
        <w:t>November 1, 2019</w:t>
      </w:r>
    </w:p>
    <w:p w14:paraId="525F4554" w14:textId="77777777" w:rsidR="008E46C9" w:rsidRPr="00B9018F" w:rsidRDefault="008E46C9" w:rsidP="00320FCD">
      <w:pPr>
        <w:jc w:val="center"/>
        <w:rPr>
          <w:sz w:val="28"/>
          <w:szCs w:val="28"/>
        </w:rPr>
      </w:pPr>
    </w:p>
    <w:p w14:paraId="6ED4761E" w14:textId="77777777" w:rsidR="00320FCD" w:rsidRPr="00782D15" w:rsidRDefault="00320FCD" w:rsidP="00320FCD">
      <w:pPr>
        <w:jc w:val="center"/>
        <w:rPr>
          <w:sz w:val="28"/>
          <w:szCs w:val="28"/>
        </w:rPr>
      </w:pPr>
    </w:p>
    <w:p w14:paraId="67C44C9D" w14:textId="77777777" w:rsidR="00320FCD" w:rsidRPr="00782D15" w:rsidRDefault="00320FCD" w:rsidP="00320FCD">
      <w:pPr>
        <w:jc w:val="center"/>
        <w:rPr>
          <w:sz w:val="28"/>
          <w:szCs w:val="28"/>
        </w:rPr>
      </w:pPr>
    </w:p>
    <w:p w14:paraId="70BC1CA4" w14:textId="77777777" w:rsidR="00320FCD" w:rsidRPr="00782D15" w:rsidRDefault="00320FCD" w:rsidP="00320FCD">
      <w:pPr>
        <w:jc w:val="center"/>
        <w:rPr>
          <w:sz w:val="28"/>
          <w:szCs w:val="28"/>
        </w:rPr>
      </w:pPr>
    </w:p>
    <w:p w14:paraId="7BA3B836" w14:textId="77777777" w:rsidR="00320FCD" w:rsidRPr="00782D15" w:rsidRDefault="00320FCD" w:rsidP="00320FCD">
      <w:pPr>
        <w:jc w:val="center"/>
        <w:rPr>
          <w:sz w:val="28"/>
          <w:szCs w:val="28"/>
        </w:rPr>
      </w:pPr>
    </w:p>
    <w:p w14:paraId="52DEDA64" w14:textId="77777777" w:rsidR="00320FCD" w:rsidRPr="00782D15" w:rsidRDefault="00320FCD" w:rsidP="00320FCD">
      <w:pPr>
        <w:jc w:val="center"/>
        <w:rPr>
          <w:sz w:val="28"/>
          <w:szCs w:val="28"/>
        </w:rPr>
      </w:pPr>
    </w:p>
    <w:p w14:paraId="4A6D0206" w14:textId="77777777" w:rsidR="00320FCD" w:rsidRPr="00782D15" w:rsidRDefault="00320FCD" w:rsidP="00320FCD">
      <w:pPr>
        <w:jc w:val="center"/>
        <w:rPr>
          <w:sz w:val="28"/>
          <w:szCs w:val="28"/>
        </w:rPr>
      </w:pPr>
    </w:p>
    <w:p w14:paraId="52F375E6" w14:textId="77777777" w:rsidR="00320FCD" w:rsidRPr="00782D15" w:rsidRDefault="00320FCD" w:rsidP="00320FCD">
      <w:pPr>
        <w:jc w:val="center"/>
        <w:rPr>
          <w:sz w:val="28"/>
          <w:szCs w:val="28"/>
        </w:rPr>
      </w:pPr>
    </w:p>
    <w:p w14:paraId="44FC4A8C" w14:textId="2426A689" w:rsidR="00320FCD" w:rsidRPr="00782D15" w:rsidRDefault="00320FCD" w:rsidP="00320FCD">
      <w:pPr>
        <w:jc w:val="center"/>
        <w:rPr>
          <w:sz w:val="28"/>
          <w:szCs w:val="28"/>
        </w:rPr>
      </w:pPr>
    </w:p>
    <w:p w14:paraId="1DC4AA7D" w14:textId="77777777" w:rsidR="00320FCD" w:rsidRDefault="00320FCD" w:rsidP="00320FCD">
      <w:pPr>
        <w:jc w:val="right"/>
        <w:rPr>
          <w:sz w:val="28"/>
          <w:szCs w:val="28"/>
        </w:rPr>
      </w:pPr>
      <w:r w:rsidRPr="00782D15">
        <w:rPr>
          <w:sz w:val="28"/>
          <w:szCs w:val="28"/>
        </w:rPr>
        <w:t>Brian S. Martin</w:t>
      </w:r>
    </w:p>
    <w:p w14:paraId="1CCD37C8" w14:textId="77777777" w:rsidR="00320FCD" w:rsidRDefault="00320FCD" w:rsidP="00320FCD">
      <w:pPr>
        <w:jc w:val="right"/>
        <w:rPr>
          <w:sz w:val="28"/>
          <w:szCs w:val="28"/>
        </w:rPr>
      </w:pPr>
      <w:r>
        <w:rPr>
          <w:sz w:val="28"/>
          <w:szCs w:val="28"/>
        </w:rPr>
        <w:t>Christina A. Culver</w:t>
      </w:r>
    </w:p>
    <w:p w14:paraId="2F5E7BEE" w14:textId="56C52836" w:rsidR="0093578C" w:rsidRPr="00782D15" w:rsidRDefault="0093578C" w:rsidP="00320FCD">
      <w:pPr>
        <w:jc w:val="right"/>
        <w:rPr>
          <w:sz w:val="28"/>
          <w:szCs w:val="28"/>
        </w:rPr>
      </w:pPr>
      <w:r>
        <w:rPr>
          <w:sz w:val="28"/>
          <w:szCs w:val="28"/>
        </w:rPr>
        <w:t>Rex Bearden</w:t>
      </w:r>
    </w:p>
    <w:p w14:paraId="07E1BA3E" w14:textId="77777777" w:rsidR="00320FCD" w:rsidRPr="00782D15" w:rsidRDefault="00320FCD" w:rsidP="00320FCD">
      <w:pPr>
        <w:jc w:val="right"/>
        <w:rPr>
          <w:sz w:val="28"/>
          <w:szCs w:val="28"/>
        </w:rPr>
      </w:pPr>
      <w:r w:rsidRPr="00782D15">
        <w:rPr>
          <w:sz w:val="28"/>
          <w:szCs w:val="28"/>
        </w:rPr>
        <w:t>Thompson, Coe, Cousins &amp; Irons, LLP</w:t>
      </w:r>
    </w:p>
    <w:p w14:paraId="79B2940B" w14:textId="77777777" w:rsidR="00320FCD" w:rsidRPr="00782D15" w:rsidRDefault="00320FCD" w:rsidP="00320FCD">
      <w:pPr>
        <w:jc w:val="right"/>
        <w:rPr>
          <w:sz w:val="28"/>
          <w:szCs w:val="28"/>
        </w:rPr>
      </w:pPr>
      <w:r w:rsidRPr="00782D15">
        <w:rPr>
          <w:sz w:val="28"/>
          <w:szCs w:val="28"/>
        </w:rPr>
        <w:t>Houston, Texas</w:t>
      </w:r>
    </w:p>
    <w:p w14:paraId="52E65AB0" w14:textId="77777777" w:rsidR="00320FCD" w:rsidRDefault="001B2F0B" w:rsidP="00320FCD">
      <w:pPr>
        <w:jc w:val="right"/>
        <w:rPr>
          <w:sz w:val="28"/>
          <w:szCs w:val="28"/>
        </w:rPr>
      </w:pPr>
      <w:hyperlink r:id="rId8" w:history="1">
        <w:r w:rsidR="00320FCD" w:rsidRPr="0015498E">
          <w:rPr>
            <w:rStyle w:val="Hyperlink"/>
            <w:sz w:val="28"/>
            <w:szCs w:val="28"/>
          </w:rPr>
          <w:t>bmartin@thompsoncoe.com</w:t>
        </w:r>
      </w:hyperlink>
    </w:p>
    <w:p w14:paraId="64A475C8" w14:textId="77777777" w:rsidR="0093578C" w:rsidRDefault="001B2F0B" w:rsidP="00320FCD">
      <w:pPr>
        <w:jc w:val="right"/>
        <w:rPr>
          <w:rStyle w:val="Hyperlink"/>
          <w:sz w:val="28"/>
          <w:szCs w:val="28"/>
        </w:rPr>
      </w:pPr>
      <w:hyperlink r:id="rId9" w:history="1">
        <w:r w:rsidR="00320FCD" w:rsidRPr="0015498E">
          <w:rPr>
            <w:rStyle w:val="Hyperlink"/>
            <w:sz w:val="28"/>
            <w:szCs w:val="28"/>
          </w:rPr>
          <w:t>cculver@thompsoncoe.com</w:t>
        </w:r>
      </w:hyperlink>
    </w:p>
    <w:p w14:paraId="4EFD61F4" w14:textId="4EB709E6" w:rsidR="00320FCD" w:rsidRPr="00782D15" w:rsidRDefault="001B2F0B" w:rsidP="00320FCD">
      <w:pPr>
        <w:jc w:val="right"/>
        <w:rPr>
          <w:sz w:val="28"/>
          <w:szCs w:val="28"/>
        </w:rPr>
      </w:pPr>
      <w:hyperlink r:id="rId10" w:history="1">
        <w:r w:rsidR="0093578C" w:rsidRPr="001A13D0">
          <w:rPr>
            <w:rStyle w:val="Hyperlink"/>
            <w:sz w:val="28"/>
            <w:szCs w:val="28"/>
          </w:rPr>
          <w:t>rbearden@thompsoncoe.com</w:t>
        </w:r>
      </w:hyperlink>
      <w:r w:rsidR="009442FB">
        <w:rPr>
          <w:rStyle w:val="Hyperlink"/>
          <w:sz w:val="28"/>
          <w:szCs w:val="28"/>
        </w:rPr>
        <w:t xml:space="preserve"> </w:t>
      </w:r>
    </w:p>
    <w:p w14:paraId="68EA46F3" w14:textId="77777777" w:rsidR="009874F9" w:rsidRPr="00782D15" w:rsidRDefault="009874F9" w:rsidP="009874F9">
      <w:pPr>
        <w:rPr>
          <w:sz w:val="28"/>
          <w:szCs w:val="28"/>
        </w:rPr>
      </w:pPr>
    </w:p>
    <w:p w14:paraId="7EB0D029" w14:textId="093AA453" w:rsidR="009874F9" w:rsidRPr="00782D15" w:rsidRDefault="009874F9" w:rsidP="009874F9">
      <w:pPr>
        <w:rPr>
          <w:sz w:val="20"/>
          <w:szCs w:val="20"/>
        </w:rPr>
      </w:pPr>
      <w:r w:rsidRPr="00782D15">
        <w:rPr>
          <w:sz w:val="20"/>
          <w:szCs w:val="20"/>
        </w:rPr>
        <w:t>© 201</w:t>
      </w:r>
      <w:r w:rsidR="00833530" w:rsidRPr="00782D15">
        <w:rPr>
          <w:sz w:val="20"/>
          <w:szCs w:val="20"/>
        </w:rPr>
        <w:t>9</w:t>
      </w:r>
      <w:r w:rsidRPr="00782D15">
        <w:rPr>
          <w:sz w:val="20"/>
          <w:szCs w:val="20"/>
        </w:rPr>
        <w:t xml:space="preserve"> American College of Coverage Counsel and </w:t>
      </w:r>
      <w:r w:rsidR="008C448C" w:rsidRPr="00782D15">
        <w:rPr>
          <w:sz w:val="20"/>
          <w:szCs w:val="20"/>
        </w:rPr>
        <w:t>Thompson, Coe, Cousins &amp; Irons, LLP</w:t>
      </w:r>
    </w:p>
    <w:p w14:paraId="2157D550" w14:textId="2177AC38" w:rsidR="00F43177" w:rsidRPr="00B9018F" w:rsidRDefault="00EF4592" w:rsidP="00220A07">
      <w:pPr>
        <w:jc w:val="center"/>
        <w:rPr>
          <w:b/>
          <w:sz w:val="24"/>
          <w:szCs w:val="24"/>
          <w:u w:val="single"/>
        </w:rPr>
      </w:pPr>
      <w:r w:rsidRPr="00B9018F">
        <w:rPr>
          <w:b/>
          <w:sz w:val="24"/>
          <w:szCs w:val="24"/>
        </w:rPr>
        <w:lastRenderedPageBreak/>
        <w:t>I.</w:t>
      </w:r>
      <w:r w:rsidRPr="00B9018F">
        <w:rPr>
          <w:b/>
          <w:sz w:val="24"/>
          <w:szCs w:val="24"/>
        </w:rPr>
        <w:tab/>
      </w:r>
      <w:r w:rsidR="00F43177" w:rsidRPr="00B9018F">
        <w:rPr>
          <w:b/>
          <w:sz w:val="24"/>
          <w:szCs w:val="24"/>
          <w:u w:val="single"/>
        </w:rPr>
        <w:t>Introduction</w:t>
      </w:r>
    </w:p>
    <w:p w14:paraId="135CF5B0" w14:textId="77777777" w:rsidR="00F43177" w:rsidRPr="00B9018F" w:rsidRDefault="00F43177" w:rsidP="00F43177">
      <w:pPr>
        <w:rPr>
          <w:b/>
          <w:sz w:val="24"/>
          <w:szCs w:val="24"/>
          <w:u w:val="single"/>
        </w:rPr>
      </w:pPr>
    </w:p>
    <w:p w14:paraId="010ED25F" w14:textId="1ACDF0DF" w:rsidR="00F43177" w:rsidRPr="00B9018F" w:rsidRDefault="009218DE" w:rsidP="00222F66">
      <w:pPr>
        <w:jc w:val="both"/>
        <w:rPr>
          <w:sz w:val="24"/>
          <w:szCs w:val="24"/>
        </w:rPr>
      </w:pPr>
      <w:r w:rsidRPr="00B9018F">
        <w:rPr>
          <w:sz w:val="24"/>
          <w:szCs w:val="24"/>
        </w:rPr>
        <w:tab/>
      </w:r>
      <w:r w:rsidR="00984E9E" w:rsidRPr="00B9018F">
        <w:rPr>
          <w:sz w:val="24"/>
          <w:szCs w:val="24"/>
        </w:rPr>
        <w:t>This paper discusse</w:t>
      </w:r>
      <w:r w:rsidR="008E46C9" w:rsidRPr="00B9018F">
        <w:rPr>
          <w:sz w:val="24"/>
          <w:szCs w:val="24"/>
        </w:rPr>
        <w:t>s</w:t>
      </w:r>
      <w:r w:rsidR="00984E9E" w:rsidRPr="00B9018F">
        <w:rPr>
          <w:sz w:val="24"/>
          <w:szCs w:val="24"/>
        </w:rPr>
        <w:t xml:space="preserve"> </w:t>
      </w:r>
      <w:r w:rsidR="008E46C9" w:rsidRPr="00B9018F">
        <w:rPr>
          <w:sz w:val="24"/>
          <w:szCs w:val="24"/>
        </w:rPr>
        <w:t>the potential legal and factual</w:t>
      </w:r>
      <w:r w:rsidR="00984E9E" w:rsidRPr="00B9018F">
        <w:rPr>
          <w:sz w:val="24"/>
          <w:szCs w:val="24"/>
        </w:rPr>
        <w:t xml:space="preserve"> issues arising from </w:t>
      </w:r>
      <w:r w:rsidR="008E46C9" w:rsidRPr="00B9018F">
        <w:rPr>
          <w:sz w:val="24"/>
          <w:szCs w:val="24"/>
        </w:rPr>
        <w:t>third-party insurance claims asserting liability for damages because of climate change, particularly in the context of commercial general liability and env</w:t>
      </w:r>
      <w:r w:rsidR="00F53D37" w:rsidRPr="00B9018F">
        <w:rPr>
          <w:sz w:val="24"/>
          <w:szCs w:val="24"/>
        </w:rPr>
        <w:t xml:space="preserve">ironmental impairment policies, including commonly implicated provisions, exclusions, and other coverage and claims handling issues. </w:t>
      </w:r>
      <w:r w:rsidR="00E25C61" w:rsidRPr="00B9018F">
        <w:rPr>
          <w:sz w:val="24"/>
          <w:szCs w:val="24"/>
        </w:rPr>
        <w:t>In Part II, t</w:t>
      </w:r>
      <w:r w:rsidR="001878DF" w:rsidRPr="00B9018F">
        <w:rPr>
          <w:sz w:val="24"/>
          <w:szCs w:val="24"/>
        </w:rPr>
        <w:t xml:space="preserve">his paper identifies emerging trends in climate change </w:t>
      </w:r>
      <w:r w:rsidR="00F53D37" w:rsidRPr="00B9018F">
        <w:rPr>
          <w:sz w:val="24"/>
          <w:szCs w:val="24"/>
        </w:rPr>
        <w:t>litigation</w:t>
      </w:r>
      <w:r w:rsidR="001878DF" w:rsidRPr="00B9018F">
        <w:rPr>
          <w:sz w:val="24"/>
          <w:szCs w:val="24"/>
        </w:rPr>
        <w:t xml:space="preserve">, including the increased </w:t>
      </w:r>
      <w:r w:rsidR="00EF4592" w:rsidRPr="00B9018F">
        <w:rPr>
          <w:sz w:val="24"/>
          <w:szCs w:val="24"/>
        </w:rPr>
        <w:t>prevalence</w:t>
      </w:r>
      <w:r w:rsidR="001878DF" w:rsidRPr="00B9018F">
        <w:rPr>
          <w:sz w:val="24"/>
          <w:szCs w:val="24"/>
        </w:rPr>
        <w:t xml:space="preserve"> of third-party liability claims.</w:t>
      </w:r>
      <w:r w:rsidR="00EF4592" w:rsidRPr="00B9018F">
        <w:rPr>
          <w:sz w:val="24"/>
          <w:szCs w:val="24"/>
        </w:rPr>
        <w:t xml:space="preserve"> Part I</w:t>
      </w:r>
      <w:r w:rsidR="00F53D37" w:rsidRPr="00B9018F">
        <w:rPr>
          <w:sz w:val="24"/>
          <w:szCs w:val="24"/>
        </w:rPr>
        <w:t>II</w:t>
      </w:r>
      <w:r w:rsidR="00EF4592" w:rsidRPr="00B9018F">
        <w:rPr>
          <w:sz w:val="24"/>
          <w:szCs w:val="24"/>
        </w:rPr>
        <w:t xml:space="preserve"> discusses coverage issues unique to commercial liability and environmental impairment</w:t>
      </w:r>
      <w:r w:rsidR="001878DF" w:rsidRPr="00B9018F">
        <w:rPr>
          <w:sz w:val="24"/>
          <w:szCs w:val="24"/>
        </w:rPr>
        <w:t xml:space="preserve"> </w:t>
      </w:r>
      <w:r w:rsidR="00717185" w:rsidRPr="00B9018F">
        <w:rPr>
          <w:sz w:val="24"/>
          <w:szCs w:val="24"/>
        </w:rPr>
        <w:t xml:space="preserve">policies, and Part </w:t>
      </w:r>
      <w:r w:rsidR="00F53D37" w:rsidRPr="00B9018F">
        <w:rPr>
          <w:sz w:val="24"/>
          <w:szCs w:val="24"/>
        </w:rPr>
        <w:t>I</w:t>
      </w:r>
      <w:r w:rsidR="00717185" w:rsidRPr="00B9018F">
        <w:rPr>
          <w:sz w:val="24"/>
          <w:szCs w:val="24"/>
        </w:rPr>
        <w:t xml:space="preserve">V offers some practical insights into best-practice for managing risk and proper claims handling. </w:t>
      </w:r>
      <w:r w:rsidR="00CB528C">
        <w:rPr>
          <w:sz w:val="24"/>
          <w:szCs w:val="24"/>
        </w:rPr>
        <w:t>Part V concludes.</w:t>
      </w:r>
    </w:p>
    <w:p w14:paraId="704A2CC3" w14:textId="77777777" w:rsidR="00F43177" w:rsidRPr="00B9018F" w:rsidRDefault="00F43177" w:rsidP="00F43177">
      <w:pPr>
        <w:rPr>
          <w:sz w:val="24"/>
          <w:szCs w:val="24"/>
        </w:rPr>
      </w:pPr>
    </w:p>
    <w:p w14:paraId="148F8F11" w14:textId="4BF9A048" w:rsidR="00F43177" w:rsidRPr="00B9018F" w:rsidRDefault="00EF4592" w:rsidP="00220A07">
      <w:pPr>
        <w:jc w:val="center"/>
        <w:rPr>
          <w:b/>
          <w:sz w:val="24"/>
          <w:szCs w:val="24"/>
          <w:u w:val="single"/>
        </w:rPr>
      </w:pPr>
      <w:r w:rsidRPr="00B9018F">
        <w:rPr>
          <w:b/>
          <w:sz w:val="24"/>
          <w:szCs w:val="24"/>
        </w:rPr>
        <w:t>II.</w:t>
      </w:r>
      <w:r w:rsidRPr="00B9018F">
        <w:rPr>
          <w:b/>
          <w:sz w:val="24"/>
          <w:szCs w:val="24"/>
        </w:rPr>
        <w:tab/>
      </w:r>
      <w:r w:rsidR="007C27E3" w:rsidRPr="00B9018F">
        <w:rPr>
          <w:b/>
          <w:sz w:val="24"/>
          <w:szCs w:val="24"/>
          <w:u w:val="single"/>
        </w:rPr>
        <w:t>Emerging Trends in Climate Change Claims</w:t>
      </w:r>
    </w:p>
    <w:p w14:paraId="14F31557" w14:textId="77777777" w:rsidR="00306A28" w:rsidRPr="00B9018F" w:rsidRDefault="00306A28" w:rsidP="00F43177">
      <w:pPr>
        <w:rPr>
          <w:b/>
          <w:sz w:val="24"/>
          <w:szCs w:val="24"/>
          <w:u w:val="single"/>
        </w:rPr>
      </w:pPr>
    </w:p>
    <w:p w14:paraId="1C94CFA2" w14:textId="5270724E" w:rsidR="008450A6" w:rsidRPr="00B9018F" w:rsidRDefault="00D72549" w:rsidP="00782D15">
      <w:pPr>
        <w:jc w:val="both"/>
        <w:rPr>
          <w:sz w:val="24"/>
          <w:szCs w:val="24"/>
        </w:rPr>
      </w:pPr>
      <w:r w:rsidRPr="00B9018F">
        <w:rPr>
          <w:sz w:val="24"/>
          <w:szCs w:val="24"/>
        </w:rPr>
        <w:tab/>
      </w:r>
      <w:r w:rsidR="00782D15" w:rsidRPr="00B9018F">
        <w:rPr>
          <w:sz w:val="24"/>
          <w:szCs w:val="24"/>
        </w:rPr>
        <w:t>Regardless of any scientific or political dispute concerning the causes</w:t>
      </w:r>
      <w:r w:rsidR="00F53D37" w:rsidRPr="00B9018F">
        <w:rPr>
          <w:sz w:val="24"/>
          <w:szCs w:val="24"/>
        </w:rPr>
        <w:t xml:space="preserve"> or existence</w:t>
      </w:r>
      <w:r w:rsidR="00782D15" w:rsidRPr="00B9018F">
        <w:rPr>
          <w:sz w:val="24"/>
          <w:szCs w:val="24"/>
        </w:rPr>
        <w:t xml:space="preserve"> of climate change, </w:t>
      </w:r>
      <w:r w:rsidR="00F53D37" w:rsidRPr="00B9018F">
        <w:rPr>
          <w:sz w:val="24"/>
          <w:szCs w:val="24"/>
        </w:rPr>
        <w:t xml:space="preserve">climate change litigation </w:t>
      </w:r>
      <w:r w:rsidR="00782D15" w:rsidRPr="00B9018F">
        <w:rPr>
          <w:sz w:val="24"/>
          <w:szCs w:val="24"/>
        </w:rPr>
        <w:t>present</w:t>
      </w:r>
      <w:r w:rsidR="00F53D37" w:rsidRPr="00B9018F">
        <w:rPr>
          <w:sz w:val="24"/>
          <w:szCs w:val="24"/>
        </w:rPr>
        <w:t>s</w:t>
      </w:r>
      <w:r w:rsidR="00782D15" w:rsidRPr="00B9018F">
        <w:rPr>
          <w:sz w:val="24"/>
          <w:szCs w:val="24"/>
        </w:rPr>
        <w:t xml:space="preserve"> unique challenges for the insurance industry globally. </w:t>
      </w:r>
      <w:r w:rsidR="005A4AFF" w:rsidRPr="00B9018F">
        <w:rPr>
          <w:sz w:val="24"/>
          <w:szCs w:val="24"/>
        </w:rPr>
        <w:t xml:space="preserve">We have already seen </w:t>
      </w:r>
      <w:r w:rsidR="000846C3" w:rsidRPr="00B9018F">
        <w:rPr>
          <w:sz w:val="24"/>
          <w:szCs w:val="24"/>
        </w:rPr>
        <w:t>an</w:t>
      </w:r>
      <w:r w:rsidR="005A4AFF" w:rsidRPr="00B9018F">
        <w:rPr>
          <w:sz w:val="24"/>
          <w:szCs w:val="24"/>
        </w:rPr>
        <w:t xml:space="preserve"> increased prevalence of </w:t>
      </w:r>
      <w:r w:rsidR="00F53D37" w:rsidRPr="00B9018F">
        <w:rPr>
          <w:sz w:val="24"/>
          <w:szCs w:val="24"/>
        </w:rPr>
        <w:t xml:space="preserve">first-party insurance claims arising out of </w:t>
      </w:r>
      <w:r w:rsidR="005A4AFF" w:rsidRPr="00B9018F">
        <w:rPr>
          <w:sz w:val="24"/>
          <w:szCs w:val="24"/>
        </w:rPr>
        <w:t xml:space="preserve">severe weather events, particularly in southern and coastal regions </w:t>
      </w:r>
      <w:r w:rsidR="008779A8" w:rsidRPr="00B9018F">
        <w:rPr>
          <w:sz w:val="24"/>
          <w:szCs w:val="24"/>
        </w:rPr>
        <w:t>of</w:t>
      </w:r>
      <w:r w:rsidR="000846C3" w:rsidRPr="00B9018F">
        <w:rPr>
          <w:sz w:val="24"/>
          <w:szCs w:val="24"/>
        </w:rPr>
        <w:t xml:space="preserve"> the United States. For example, in response to </w:t>
      </w:r>
      <w:r w:rsidR="00C0282E" w:rsidRPr="00B9018F">
        <w:rPr>
          <w:sz w:val="24"/>
          <w:szCs w:val="24"/>
        </w:rPr>
        <w:t xml:space="preserve">Hurricane Katrine, </w:t>
      </w:r>
      <w:r w:rsidR="000846C3" w:rsidRPr="00B9018F">
        <w:rPr>
          <w:sz w:val="24"/>
          <w:szCs w:val="24"/>
        </w:rPr>
        <w:t>which</w:t>
      </w:r>
      <w:r w:rsidR="00C0282E" w:rsidRPr="00B9018F">
        <w:rPr>
          <w:sz w:val="24"/>
          <w:szCs w:val="24"/>
        </w:rPr>
        <w:t xml:space="preserve"> </w:t>
      </w:r>
      <w:r w:rsidRPr="00B9018F">
        <w:rPr>
          <w:sz w:val="24"/>
          <w:szCs w:val="24"/>
        </w:rPr>
        <w:t>destroyed more than 200,000 homes and is estimated to be responsible for between $75 billion to more than $150 billion in damage</w:t>
      </w:r>
      <w:r w:rsidR="000846C3" w:rsidRPr="00B9018F">
        <w:rPr>
          <w:sz w:val="24"/>
          <w:szCs w:val="24"/>
        </w:rPr>
        <w:t>,</w:t>
      </w:r>
      <w:r w:rsidR="004B270D" w:rsidRPr="00B9018F">
        <w:rPr>
          <w:rStyle w:val="FootnoteReference"/>
          <w:sz w:val="24"/>
          <w:szCs w:val="24"/>
        </w:rPr>
        <w:footnoteReference w:id="1"/>
      </w:r>
      <w:r w:rsidR="00651C61" w:rsidRPr="00B9018F">
        <w:rPr>
          <w:sz w:val="24"/>
          <w:szCs w:val="24"/>
        </w:rPr>
        <w:t xml:space="preserve"> </w:t>
      </w:r>
      <w:r w:rsidR="000846C3" w:rsidRPr="00B9018F">
        <w:rPr>
          <w:sz w:val="24"/>
          <w:szCs w:val="24"/>
        </w:rPr>
        <w:t>i</w:t>
      </w:r>
      <w:r w:rsidR="007E1163" w:rsidRPr="00B9018F">
        <w:rPr>
          <w:sz w:val="24"/>
          <w:szCs w:val="24"/>
        </w:rPr>
        <w:t>nsurers paid more than $45 billion in insured losses,</w:t>
      </w:r>
      <w:r w:rsidR="00D2738D" w:rsidRPr="00B9018F">
        <w:rPr>
          <w:rStyle w:val="FootnoteReference"/>
          <w:sz w:val="24"/>
          <w:szCs w:val="24"/>
        </w:rPr>
        <w:footnoteReference w:id="2"/>
      </w:r>
      <w:r w:rsidR="007E1163" w:rsidRPr="00B9018F">
        <w:rPr>
          <w:sz w:val="24"/>
          <w:szCs w:val="24"/>
        </w:rPr>
        <w:t xml:space="preserve"> including more than $16 billion in loss </w:t>
      </w:r>
      <w:r w:rsidR="00651C61" w:rsidRPr="00B9018F">
        <w:rPr>
          <w:sz w:val="24"/>
          <w:szCs w:val="24"/>
        </w:rPr>
        <w:t xml:space="preserve">paid </w:t>
      </w:r>
      <w:r w:rsidR="00D2738D" w:rsidRPr="00B9018F">
        <w:rPr>
          <w:sz w:val="24"/>
          <w:szCs w:val="24"/>
        </w:rPr>
        <w:t xml:space="preserve">on </w:t>
      </w:r>
      <w:r w:rsidR="00651C61" w:rsidRPr="00B9018F">
        <w:rPr>
          <w:sz w:val="24"/>
          <w:szCs w:val="24"/>
        </w:rPr>
        <w:t xml:space="preserve">more than </w:t>
      </w:r>
      <w:r w:rsidR="00D2738D" w:rsidRPr="00B9018F">
        <w:rPr>
          <w:sz w:val="24"/>
          <w:szCs w:val="24"/>
        </w:rPr>
        <w:t xml:space="preserve">150,000 </w:t>
      </w:r>
      <w:r w:rsidR="00651C61" w:rsidRPr="00B9018F">
        <w:rPr>
          <w:sz w:val="24"/>
          <w:szCs w:val="24"/>
        </w:rPr>
        <w:t>flood insurance claims.</w:t>
      </w:r>
      <w:r w:rsidR="00651C61" w:rsidRPr="00B9018F">
        <w:rPr>
          <w:rStyle w:val="FootnoteReference"/>
          <w:sz w:val="24"/>
          <w:szCs w:val="24"/>
        </w:rPr>
        <w:footnoteReference w:id="3"/>
      </w:r>
      <w:r w:rsidR="00651C61" w:rsidRPr="00B9018F">
        <w:rPr>
          <w:sz w:val="24"/>
          <w:szCs w:val="24"/>
        </w:rPr>
        <w:t xml:space="preserve"> </w:t>
      </w:r>
      <w:r w:rsidR="00320FCD" w:rsidRPr="00B9018F">
        <w:rPr>
          <w:sz w:val="24"/>
          <w:szCs w:val="24"/>
        </w:rPr>
        <w:t>I</w:t>
      </w:r>
      <w:r w:rsidR="00BD535C" w:rsidRPr="00B9018F">
        <w:rPr>
          <w:sz w:val="24"/>
          <w:szCs w:val="24"/>
        </w:rPr>
        <w:t>n 2017 alone, Hurricanes Harvey, Maria, and Irma caused m</w:t>
      </w:r>
      <w:r w:rsidR="000846C3" w:rsidRPr="00B9018F">
        <w:rPr>
          <w:sz w:val="24"/>
          <w:szCs w:val="24"/>
        </w:rPr>
        <w:t>ore than $300 billion in damage,</w:t>
      </w:r>
      <w:r w:rsidR="00BD535C" w:rsidRPr="00B9018F">
        <w:rPr>
          <w:rStyle w:val="FootnoteReference"/>
          <w:sz w:val="24"/>
          <w:szCs w:val="24"/>
        </w:rPr>
        <w:footnoteReference w:id="4"/>
      </w:r>
      <w:r w:rsidR="000846C3" w:rsidRPr="00B9018F">
        <w:rPr>
          <w:sz w:val="24"/>
          <w:szCs w:val="24"/>
        </w:rPr>
        <w:t xml:space="preserve"> and the total</w:t>
      </w:r>
      <w:r w:rsidR="002B6C2F" w:rsidRPr="00B9018F">
        <w:rPr>
          <w:sz w:val="24"/>
          <w:szCs w:val="24"/>
        </w:rPr>
        <w:t xml:space="preserve"> insurable loss from those storms </w:t>
      </w:r>
      <w:r w:rsidR="00FC5B3E">
        <w:rPr>
          <w:sz w:val="24"/>
          <w:szCs w:val="24"/>
        </w:rPr>
        <w:t xml:space="preserve">remains </w:t>
      </w:r>
      <w:r w:rsidR="002B6C2F" w:rsidRPr="00B9018F">
        <w:rPr>
          <w:sz w:val="24"/>
          <w:szCs w:val="24"/>
        </w:rPr>
        <w:t>uncertain.</w:t>
      </w:r>
      <w:r w:rsidR="009442FB" w:rsidRPr="00B9018F">
        <w:rPr>
          <w:sz w:val="24"/>
          <w:szCs w:val="24"/>
        </w:rPr>
        <w:t xml:space="preserve"> </w:t>
      </w:r>
    </w:p>
    <w:p w14:paraId="6914460A" w14:textId="77777777" w:rsidR="00EA2119" w:rsidRPr="00B9018F" w:rsidRDefault="00EA2119" w:rsidP="00782D15">
      <w:pPr>
        <w:jc w:val="both"/>
        <w:rPr>
          <w:sz w:val="24"/>
          <w:szCs w:val="24"/>
        </w:rPr>
      </w:pPr>
    </w:p>
    <w:p w14:paraId="47FED421" w14:textId="7FE7A942" w:rsidR="002335BD" w:rsidRPr="00B9018F" w:rsidRDefault="00EA2119" w:rsidP="00782D15">
      <w:pPr>
        <w:jc w:val="both"/>
        <w:rPr>
          <w:sz w:val="24"/>
          <w:szCs w:val="24"/>
        </w:rPr>
      </w:pPr>
      <w:r w:rsidRPr="00B9018F">
        <w:rPr>
          <w:sz w:val="24"/>
          <w:szCs w:val="24"/>
        </w:rPr>
        <w:tab/>
      </w:r>
      <w:r w:rsidR="002B6C2F" w:rsidRPr="00B9018F">
        <w:rPr>
          <w:sz w:val="24"/>
          <w:szCs w:val="24"/>
        </w:rPr>
        <w:t>Although, historically, climate change related claims have presented in the context of first-party property coverage</w:t>
      </w:r>
      <w:r w:rsidRPr="00B9018F">
        <w:rPr>
          <w:sz w:val="24"/>
          <w:szCs w:val="24"/>
        </w:rPr>
        <w:t>, third-party liability claims seeking compensation</w:t>
      </w:r>
      <w:r w:rsidR="0079030E" w:rsidRPr="00B9018F">
        <w:rPr>
          <w:sz w:val="24"/>
          <w:szCs w:val="24"/>
        </w:rPr>
        <w:t xml:space="preserve"> from major carbon producers </w:t>
      </w:r>
      <w:r w:rsidR="002B6C2F" w:rsidRPr="00B9018F">
        <w:rPr>
          <w:sz w:val="24"/>
          <w:szCs w:val="24"/>
        </w:rPr>
        <w:t>are beginning to take center stage</w:t>
      </w:r>
      <w:r w:rsidRPr="00B9018F">
        <w:rPr>
          <w:sz w:val="24"/>
          <w:szCs w:val="24"/>
        </w:rPr>
        <w:t xml:space="preserve">. In the early 2000s, a small number of high profile climate change cases were litigated against oil, gas, and electric </w:t>
      </w:r>
      <w:r w:rsidR="0079030E" w:rsidRPr="00B9018F">
        <w:rPr>
          <w:sz w:val="24"/>
          <w:szCs w:val="24"/>
        </w:rPr>
        <w:t>companies. A</w:t>
      </w:r>
      <w:r w:rsidR="002335BD" w:rsidRPr="00B9018F">
        <w:rPr>
          <w:sz w:val="24"/>
          <w:szCs w:val="24"/>
        </w:rPr>
        <w:t>lt</w:t>
      </w:r>
      <w:r w:rsidRPr="00B9018F">
        <w:rPr>
          <w:sz w:val="24"/>
          <w:szCs w:val="24"/>
        </w:rPr>
        <w:t>hough their suits were high profile, these plaintiffs universally encountered procedural and substantive hurdles that were fatal to their claims.</w:t>
      </w:r>
      <w:r w:rsidR="002335BD" w:rsidRPr="00B9018F">
        <w:rPr>
          <w:rStyle w:val="FootnoteReference"/>
          <w:sz w:val="24"/>
          <w:szCs w:val="24"/>
        </w:rPr>
        <w:footnoteReference w:id="5"/>
      </w:r>
      <w:r w:rsidRPr="00B9018F">
        <w:rPr>
          <w:sz w:val="24"/>
          <w:szCs w:val="24"/>
        </w:rPr>
        <w:t xml:space="preserve"> </w:t>
      </w:r>
      <w:r w:rsidR="0079030E" w:rsidRPr="00B9018F">
        <w:rPr>
          <w:sz w:val="24"/>
          <w:szCs w:val="24"/>
        </w:rPr>
        <w:t>E</w:t>
      </w:r>
      <w:r w:rsidR="00BD53A2" w:rsidRPr="00B9018F">
        <w:rPr>
          <w:sz w:val="24"/>
          <w:szCs w:val="24"/>
        </w:rPr>
        <w:t>nthusiastic plaintiffs have not been discouraged by early precedent</w:t>
      </w:r>
      <w:r w:rsidR="00C955BD" w:rsidRPr="00B9018F">
        <w:rPr>
          <w:sz w:val="24"/>
          <w:szCs w:val="24"/>
        </w:rPr>
        <w:t xml:space="preserve">, </w:t>
      </w:r>
      <w:r w:rsidR="002B6C2F" w:rsidRPr="00B9018F">
        <w:rPr>
          <w:sz w:val="24"/>
          <w:szCs w:val="24"/>
        </w:rPr>
        <w:t xml:space="preserve">however, </w:t>
      </w:r>
      <w:r w:rsidR="00C955BD" w:rsidRPr="00B9018F">
        <w:rPr>
          <w:sz w:val="24"/>
          <w:szCs w:val="24"/>
        </w:rPr>
        <w:t xml:space="preserve">and some courts have already begun to tear down </w:t>
      </w:r>
      <w:r w:rsidR="00E05595" w:rsidRPr="00B9018F">
        <w:rPr>
          <w:sz w:val="24"/>
          <w:szCs w:val="24"/>
        </w:rPr>
        <w:t>those procedural barriers</w:t>
      </w:r>
      <w:r w:rsidR="00196EF5" w:rsidRPr="00B9018F">
        <w:rPr>
          <w:sz w:val="24"/>
          <w:szCs w:val="24"/>
        </w:rPr>
        <w:t>.</w:t>
      </w:r>
      <w:r w:rsidR="00BD53A2" w:rsidRPr="00B9018F">
        <w:rPr>
          <w:rStyle w:val="FootnoteReference"/>
          <w:sz w:val="24"/>
          <w:szCs w:val="24"/>
        </w:rPr>
        <w:footnoteReference w:id="6"/>
      </w:r>
      <w:r w:rsidR="00BD53A2" w:rsidRPr="00B9018F">
        <w:rPr>
          <w:sz w:val="24"/>
          <w:szCs w:val="24"/>
        </w:rPr>
        <w:t xml:space="preserve"> </w:t>
      </w:r>
      <w:r w:rsidR="002335BD" w:rsidRPr="00B9018F">
        <w:rPr>
          <w:sz w:val="24"/>
          <w:szCs w:val="24"/>
        </w:rPr>
        <w:t xml:space="preserve">Governmental entities, commercial manufacturers, fossil fuel emitters, land developers, and livestock farmers, among others, may face the ire of third-party </w:t>
      </w:r>
      <w:r w:rsidR="002335BD" w:rsidRPr="00B9018F">
        <w:rPr>
          <w:sz w:val="24"/>
          <w:szCs w:val="24"/>
        </w:rPr>
        <w:lastRenderedPageBreak/>
        <w:t xml:space="preserve">claimants alleging that those insureds are responsible for damages caused by their contribution to climate change. </w:t>
      </w:r>
    </w:p>
    <w:p w14:paraId="6960D511" w14:textId="77777777" w:rsidR="002335BD" w:rsidRPr="00B9018F" w:rsidRDefault="002335BD" w:rsidP="00782D15">
      <w:pPr>
        <w:jc w:val="both"/>
        <w:rPr>
          <w:sz w:val="24"/>
          <w:szCs w:val="24"/>
        </w:rPr>
      </w:pPr>
    </w:p>
    <w:p w14:paraId="77F8849C" w14:textId="152BDC45" w:rsidR="00176683" w:rsidRPr="00B9018F" w:rsidRDefault="002335BD" w:rsidP="00782D15">
      <w:pPr>
        <w:jc w:val="both"/>
        <w:rPr>
          <w:sz w:val="24"/>
          <w:szCs w:val="24"/>
        </w:rPr>
      </w:pPr>
      <w:r w:rsidRPr="00B9018F">
        <w:rPr>
          <w:sz w:val="24"/>
          <w:szCs w:val="24"/>
        </w:rPr>
        <w:tab/>
      </w:r>
      <w:r w:rsidR="00E70151" w:rsidRPr="00B9018F">
        <w:rPr>
          <w:sz w:val="24"/>
          <w:szCs w:val="24"/>
        </w:rPr>
        <w:t>T</w:t>
      </w:r>
      <w:r w:rsidR="001D0A1F" w:rsidRPr="00B9018F">
        <w:rPr>
          <w:sz w:val="24"/>
          <w:szCs w:val="24"/>
        </w:rPr>
        <w:t xml:space="preserve">he nature of climate change </w:t>
      </w:r>
      <w:r w:rsidR="00E70151" w:rsidRPr="00B9018F">
        <w:rPr>
          <w:sz w:val="24"/>
          <w:szCs w:val="24"/>
        </w:rPr>
        <w:t>claim</w:t>
      </w:r>
      <w:r w:rsidR="00E05595" w:rsidRPr="00B9018F">
        <w:rPr>
          <w:sz w:val="24"/>
          <w:szCs w:val="24"/>
        </w:rPr>
        <w:t>s</w:t>
      </w:r>
      <w:r w:rsidR="00E70151" w:rsidRPr="00B9018F">
        <w:rPr>
          <w:sz w:val="24"/>
          <w:szCs w:val="24"/>
        </w:rPr>
        <w:t xml:space="preserve"> </w:t>
      </w:r>
      <w:r w:rsidR="0064253C" w:rsidRPr="00B9018F">
        <w:rPr>
          <w:sz w:val="24"/>
          <w:szCs w:val="24"/>
        </w:rPr>
        <w:t xml:space="preserve">presents </w:t>
      </w:r>
      <w:r w:rsidR="00E05595" w:rsidRPr="00B9018F">
        <w:rPr>
          <w:sz w:val="24"/>
          <w:szCs w:val="24"/>
        </w:rPr>
        <w:t xml:space="preserve">difficult challenges for insurers. </w:t>
      </w:r>
      <w:r w:rsidR="001D0A1F" w:rsidRPr="00B9018F">
        <w:rPr>
          <w:sz w:val="24"/>
          <w:szCs w:val="24"/>
        </w:rPr>
        <w:t>Who has standing to bring a valid climate change claim, and how</w:t>
      </w:r>
      <w:r w:rsidR="00FC5B3E">
        <w:rPr>
          <w:sz w:val="24"/>
          <w:szCs w:val="24"/>
        </w:rPr>
        <w:t xml:space="preserve"> can that claimant prove that a particular</w:t>
      </w:r>
      <w:r w:rsidR="001D0A1F" w:rsidRPr="00B9018F">
        <w:rPr>
          <w:sz w:val="24"/>
          <w:szCs w:val="24"/>
        </w:rPr>
        <w:t xml:space="preserve"> insured is liable fo</w:t>
      </w:r>
      <w:r w:rsidR="00FC5B3E">
        <w:rPr>
          <w:sz w:val="24"/>
          <w:szCs w:val="24"/>
        </w:rPr>
        <w:t>r damage allegedly caused by that</w:t>
      </w:r>
      <w:r w:rsidR="001D0A1F" w:rsidRPr="00B9018F">
        <w:rPr>
          <w:sz w:val="24"/>
          <w:szCs w:val="24"/>
        </w:rPr>
        <w:t xml:space="preserve"> insured</w:t>
      </w:r>
      <w:r w:rsidR="009442FB" w:rsidRPr="00B9018F">
        <w:rPr>
          <w:sz w:val="24"/>
          <w:szCs w:val="24"/>
        </w:rPr>
        <w:t>’</w:t>
      </w:r>
      <w:r w:rsidR="001D0A1F" w:rsidRPr="00B9018F">
        <w:rPr>
          <w:sz w:val="24"/>
          <w:szCs w:val="24"/>
        </w:rPr>
        <w:t>s contribution to climate change? When did the alleged damage actually occur, and how can that loss be allocated between</w:t>
      </w:r>
      <w:r w:rsidR="00176683" w:rsidRPr="00B9018F">
        <w:rPr>
          <w:sz w:val="24"/>
          <w:szCs w:val="24"/>
        </w:rPr>
        <w:t xml:space="preserve"> multiple insurers? </w:t>
      </w:r>
      <w:r w:rsidR="00E70151" w:rsidRPr="00B9018F">
        <w:rPr>
          <w:sz w:val="24"/>
          <w:szCs w:val="24"/>
        </w:rPr>
        <w:t>T</w:t>
      </w:r>
      <w:r w:rsidR="00176683" w:rsidRPr="00B9018F">
        <w:rPr>
          <w:sz w:val="24"/>
          <w:szCs w:val="24"/>
        </w:rPr>
        <w:t>hese questions are n</w:t>
      </w:r>
      <w:r w:rsidR="00E70151" w:rsidRPr="00B9018F">
        <w:rPr>
          <w:sz w:val="24"/>
          <w:szCs w:val="24"/>
        </w:rPr>
        <w:t xml:space="preserve">ot novel, </w:t>
      </w:r>
      <w:r w:rsidR="00E05595" w:rsidRPr="00B9018F">
        <w:rPr>
          <w:sz w:val="24"/>
          <w:szCs w:val="24"/>
        </w:rPr>
        <w:t xml:space="preserve">however, </w:t>
      </w:r>
      <w:r w:rsidR="00E70151" w:rsidRPr="00B9018F">
        <w:rPr>
          <w:sz w:val="24"/>
          <w:szCs w:val="24"/>
        </w:rPr>
        <w:t>and the</w:t>
      </w:r>
      <w:r w:rsidR="00176683" w:rsidRPr="00B9018F">
        <w:rPr>
          <w:sz w:val="24"/>
          <w:szCs w:val="24"/>
        </w:rPr>
        <w:t xml:space="preserve"> </w:t>
      </w:r>
      <w:r w:rsidR="00610C64">
        <w:rPr>
          <w:sz w:val="24"/>
          <w:szCs w:val="24"/>
        </w:rPr>
        <w:t xml:space="preserve">existing </w:t>
      </w:r>
      <w:r w:rsidR="00176683" w:rsidRPr="00B9018F">
        <w:rPr>
          <w:sz w:val="24"/>
          <w:szCs w:val="24"/>
        </w:rPr>
        <w:t>landscape of</w:t>
      </w:r>
      <w:r w:rsidR="00910120" w:rsidRPr="00B9018F">
        <w:rPr>
          <w:sz w:val="24"/>
          <w:szCs w:val="24"/>
        </w:rPr>
        <w:t xml:space="preserve"> applicable</w:t>
      </w:r>
      <w:r w:rsidR="00176683" w:rsidRPr="00B9018F">
        <w:rPr>
          <w:sz w:val="24"/>
          <w:szCs w:val="24"/>
        </w:rPr>
        <w:t xml:space="preserve"> law can help guide insurers better understand </w:t>
      </w:r>
      <w:r w:rsidR="00FC5B3E">
        <w:rPr>
          <w:sz w:val="24"/>
          <w:szCs w:val="24"/>
        </w:rPr>
        <w:t xml:space="preserve">the risks commonly </w:t>
      </w:r>
      <w:r w:rsidRPr="00B9018F">
        <w:rPr>
          <w:sz w:val="24"/>
          <w:szCs w:val="24"/>
        </w:rPr>
        <w:t>associated</w:t>
      </w:r>
      <w:r w:rsidR="00176683" w:rsidRPr="00B9018F">
        <w:rPr>
          <w:sz w:val="24"/>
          <w:szCs w:val="24"/>
        </w:rPr>
        <w:t xml:space="preserve"> </w:t>
      </w:r>
      <w:r w:rsidR="00FC5B3E">
        <w:rPr>
          <w:sz w:val="24"/>
          <w:szCs w:val="24"/>
        </w:rPr>
        <w:t>with this new species of claim</w:t>
      </w:r>
      <w:r w:rsidR="00176683" w:rsidRPr="00B9018F">
        <w:rPr>
          <w:sz w:val="24"/>
          <w:szCs w:val="24"/>
        </w:rPr>
        <w:t xml:space="preserve">. </w:t>
      </w:r>
    </w:p>
    <w:p w14:paraId="013F6BD6" w14:textId="77777777" w:rsidR="00176683" w:rsidRPr="00B9018F" w:rsidRDefault="00176683" w:rsidP="00782D15">
      <w:pPr>
        <w:jc w:val="both"/>
        <w:rPr>
          <w:sz w:val="24"/>
          <w:szCs w:val="24"/>
        </w:rPr>
      </w:pPr>
    </w:p>
    <w:p w14:paraId="3205A8F0" w14:textId="1E20EC59" w:rsidR="00F43177" w:rsidRPr="00B9018F" w:rsidRDefault="00610C64" w:rsidP="00220A07">
      <w:pPr>
        <w:jc w:val="center"/>
        <w:rPr>
          <w:b/>
          <w:sz w:val="24"/>
          <w:szCs w:val="24"/>
          <w:u w:val="single"/>
        </w:rPr>
      </w:pPr>
      <w:r>
        <w:rPr>
          <w:b/>
          <w:sz w:val="24"/>
          <w:szCs w:val="24"/>
        </w:rPr>
        <w:t>III</w:t>
      </w:r>
      <w:r w:rsidR="00EF4592" w:rsidRPr="00B9018F">
        <w:rPr>
          <w:b/>
          <w:sz w:val="24"/>
          <w:szCs w:val="24"/>
        </w:rPr>
        <w:t>.</w:t>
      </w:r>
      <w:r w:rsidR="00EF4592" w:rsidRPr="00B9018F">
        <w:rPr>
          <w:b/>
          <w:sz w:val="24"/>
          <w:szCs w:val="24"/>
        </w:rPr>
        <w:tab/>
      </w:r>
      <w:r w:rsidR="007C27E3" w:rsidRPr="00B9018F">
        <w:rPr>
          <w:b/>
          <w:sz w:val="24"/>
          <w:szCs w:val="24"/>
          <w:u w:val="single"/>
        </w:rPr>
        <w:t>Liability Coverage Questions: CGL and EIL Policies</w:t>
      </w:r>
    </w:p>
    <w:p w14:paraId="1981C234" w14:textId="77777777" w:rsidR="009D4ACF" w:rsidRPr="00B9018F" w:rsidRDefault="009D4ACF" w:rsidP="00176683">
      <w:pPr>
        <w:jc w:val="both"/>
        <w:rPr>
          <w:b/>
          <w:sz w:val="24"/>
          <w:szCs w:val="24"/>
          <w:u w:val="single"/>
        </w:rPr>
      </w:pPr>
    </w:p>
    <w:p w14:paraId="41327A88" w14:textId="2967536D" w:rsidR="00295E14" w:rsidRPr="00B9018F" w:rsidRDefault="00734029" w:rsidP="00176683">
      <w:pPr>
        <w:jc w:val="both"/>
        <w:rPr>
          <w:sz w:val="24"/>
          <w:szCs w:val="24"/>
        </w:rPr>
      </w:pPr>
      <w:r w:rsidRPr="00B9018F">
        <w:rPr>
          <w:sz w:val="24"/>
          <w:szCs w:val="24"/>
        </w:rPr>
        <w:tab/>
      </w:r>
      <w:r w:rsidR="00BC264B" w:rsidRPr="00B9018F">
        <w:rPr>
          <w:sz w:val="24"/>
          <w:szCs w:val="24"/>
        </w:rPr>
        <w:t xml:space="preserve">Third-party liability claims may potentially </w:t>
      </w:r>
      <w:r w:rsidRPr="00B9018F">
        <w:rPr>
          <w:sz w:val="24"/>
          <w:szCs w:val="24"/>
        </w:rPr>
        <w:t xml:space="preserve">implicate coverage under commercial general liability (CGL) and environmental impairment liability (EIL) policies. Generally speaking, </w:t>
      </w:r>
      <w:r w:rsidR="00B605BC" w:rsidRPr="00B9018F">
        <w:rPr>
          <w:sz w:val="24"/>
          <w:szCs w:val="24"/>
        </w:rPr>
        <w:t xml:space="preserve">CGL policies insure against </w:t>
      </w:r>
      <w:r w:rsidR="00D22C5A" w:rsidRPr="00B9018F">
        <w:rPr>
          <w:sz w:val="24"/>
          <w:szCs w:val="24"/>
        </w:rPr>
        <w:t xml:space="preserve">accidental </w:t>
      </w:r>
      <w:r w:rsidR="00397887">
        <w:rPr>
          <w:sz w:val="24"/>
          <w:szCs w:val="24"/>
        </w:rPr>
        <w:t>“</w:t>
      </w:r>
      <w:r w:rsidR="00B605BC" w:rsidRPr="00B9018F">
        <w:rPr>
          <w:sz w:val="24"/>
          <w:szCs w:val="24"/>
        </w:rPr>
        <w:t>bo</w:t>
      </w:r>
      <w:r w:rsidR="00D22C5A" w:rsidRPr="00B9018F">
        <w:rPr>
          <w:sz w:val="24"/>
          <w:szCs w:val="24"/>
        </w:rPr>
        <w:t>dily injury</w:t>
      </w:r>
      <w:r w:rsidR="00397887">
        <w:rPr>
          <w:sz w:val="24"/>
          <w:szCs w:val="24"/>
        </w:rPr>
        <w:t>”</w:t>
      </w:r>
      <w:r w:rsidR="00D22C5A" w:rsidRPr="00B9018F">
        <w:rPr>
          <w:sz w:val="24"/>
          <w:szCs w:val="24"/>
        </w:rPr>
        <w:t xml:space="preserve"> and </w:t>
      </w:r>
      <w:r w:rsidR="00397887">
        <w:rPr>
          <w:sz w:val="24"/>
          <w:szCs w:val="24"/>
        </w:rPr>
        <w:t>“</w:t>
      </w:r>
      <w:r w:rsidR="00D22C5A" w:rsidRPr="00B9018F">
        <w:rPr>
          <w:sz w:val="24"/>
          <w:szCs w:val="24"/>
        </w:rPr>
        <w:t>property damage</w:t>
      </w:r>
      <w:r w:rsidR="00295E14" w:rsidRPr="00B9018F">
        <w:rPr>
          <w:sz w:val="24"/>
          <w:szCs w:val="24"/>
        </w:rPr>
        <w:t>,</w:t>
      </w:r>
      <w:r w:rsidR="00397887">
        <w:rPr>
          <w:sz w:val="24"/>
          <w:szCs w:val="24"/>
        </w:rPr>
        <w:t>”</w:t>
      </w:r>
      <w:r w:rsidR="00295E14" w:rsidRPr="00B9018F">
        <w:rPr>
          <w:sz w:val="24"/>
          <w:szCs w:val="24"/>
        </w:rPr>
        <w:t xml:space="preserve"> and </w:t>
      </w:r>
      <w:r w:rsidR="00D22C5A" w:rsidRPr="00B9018F">
        <w:rPr>
          <w:sz w:val="24"/>
          <w:szCs w:val="24"/>
        </w:rPr>
        <w:t xml:space="preserve">EIL policies </w:t>
      </w:r>
      <w:r w:rsidR="00295E14" w:rsidRPr="00B9018F">
        <w:rPr>
          <w:sz w:val="24"/>
          <w:szCs w:val="24"/>
        </w:rPr>
        <w:t xml:space="preserve">insure against </w:t>
      </w:r>
      <w:r w:rsidR="00397887">
        <w:rPr>
          <w:sz w:val="24"/>
          <w:szCs w:val="24"/>
        </w:rPr>
        <w:t>“</w:t>
      </w:r>
      <w:r w:rsidR="00295E14" w:rsidRPr="00B9018F">
        <w:rPr>
          <w:sz w:val="24"/>
          <w:szCs w:val="24"/>
        </w:rPr>
        <w:t>bodily injury</w:t>
      </w:r>
      <w:r w:rsidR="00397887">
        <w:rPr>
          <w:sz w:val="24"/>
          <w:szCs w:val="24"/>
        </w:rPr>
        <w:t>”</w:t>
      </w:r>
      <w:r w:rsidR="00295E14" w:rsidRPr="00B9018F">
        <w:rPr>
          <w:sz w:val="24"/>
          <w:szCs w:val="24"/>
        </w:rPr>
        <w:t xml:space="preserve"> and </w:t>
      </w:r>
      <w:r w:rsidR="00397887">
        <w:rPr>
          <w:sz w:val="24"/>
          <w:szCs w:val="24"/>
        </w:rPr>
        <w:t>“</w:t>
      </w:r>
      <w:r w:rsidR="00295E14" w:rsidRPr="00B9018F">
        <w:rPr>
          <w:sz w:val="24"/>
          <w:szCs w:val="24"/>
        </w:rPr>
        <w:t>property damage</w:t>
      </w:r>
      <w:r w:rsidR="00397887">
        <w:rPr>
          <w:sz w:val="24"/>
          <w:szCs w:val="24"/>
        </w:rPr>
        <w:t>”</w:t>
      </w:r>
      <w:r w:rsidR="00295E14" w:rsidRPr="00B9018F">
        <w:rPr>
          <w:sz w:val="24"/>
          <w:szCs w:val="24"/>
        </w:rPr>
        <w:t xml:space="preserve"> that was caused by a </w:t>
      </w:r>
      <w:r w:rsidR="00DE3DE9">
        <w:rPr>
          <w:sz w:val="24"/>
          <w:szCs w:val="24"/>
        </w:rPr>
        <w:t>“</w:t>
      </w:r>
      <w:r w:rsidR="00295E14" w:rsidRPr="00B9018F">
        <w:rPr>
          <w:sz w:val="24"/>
          <w:szCs w:val="24"/>
        </w:rPr>
        <w:t>pollution condition.</w:t>
      </w:r>
      <w:r w:rsidR="00DE3DE9">
        <w:rPr>
          <w:sz w:val="24"/>
          <w:szCs w:val="24"/>
        </w:rPr>
        <w:t>”</w:t>
      </w:r>
      <w:r w:rsidR="00295E14" w:rsidRPr="00B9018F">
        <w:rPr>
          <w:sz w:val="24"/>
          <w:szCs w:val="24"/>
        </w:rPr>
        <w:t xml:space="preserve"> These</w:t>
      </w:r>
      <w:r w:rsidR="0071530B" w:rsidRPr="00B9018F">
        <w:rPr>
          <w:sz w:val="24"/>
          <w:szCs w:val="24"/>
        </w:rPr>
        <w:t xml:space="preserve"> common policy forms</w:t>
      </w:r>
      <w:r w:rsidR="00295E14" w:rsidRPr="00B9018F">
        <w:rPr>
          <w:sz w:val="24"/>
          <w:szCs w:val="24"/>
        </w:rPr>
        <w:t xml:space="preserve"> provide a useful template for understanding the </w:t>
      </w:r>
      <w:r w:rsidR="0071530B" w:rsidRPr="00B9018F">
        <w:rPr>
          <w:sz w:val="24"/>
          <w:szCs w:val="24"/>
        </w:rPr>
        <w:t>lens through which climate change claim</w:t>
      </w:r>
      <w:r w:rsidR="002335BD" w:rsidRPr="00B9018F">
        <w:rPr>
          <w:sz w:val="24"/>
          <w:szCs w:val="24"/>
        </w:rPr>
        <w:t>s</w:t>
      </w:r>
      <w:r w:rsidR="0071530B" w:rsidRPr="00B9018F">
        <w:rPr>
          <w:sz w:val="24"/>
          <w:szCs w:val="24"/>
        </w:rPr>
        <w:t xml:space="preserve"> should be </w:t>
      </w:r>
      <w:r w:rsidR="002335BD" w:rsidRPr="00B9018F">
        <w:rPr>
          <w:sz w:val="24"/>
          <w:szCs w:val="24"/>
        </w:rPr>
        <w:t>managed</w:t>
      </w:r>
      <w:r w:rsidR="0071530B" w:rsidRPr="00B9018F">
        <w:rPr>
          <w:sz w:val="24"/>
          <w:szCs w:val="24"/>
        </w:rPr>
        <w:t>. In particular, an insurer</w:t>
      </w:r>
      <w:r w:rsidR="009442FB" w:rsidRPr="00B9018F">
        <w:rPr>
          <w:sz w:val="24"/>
          <w:szCs w:val="24"/>
        </w:rPr>
        <w:t>’</w:t>
      </w:r>
      <w:r w:rsidR="0071530B" w:rsidRPr="00B9018F">
        <w:rPr>
          <w:sz w:val="24"/>
          <w:szCs w:val="24"/>
        </w:rPr>
        <w:t xml:space="preserve">s evaluation of its rights and obligations under a standard CGL or EIL policy often turns on </w:t>
      </w:r>
      <w:r w:rsidR="00B377C2" w:rsidRPr="00B9018F">
        <w:rPr>
          <w:sz w:val="24"/>
          <w:szCs w:val="24"/>
        </w:rPr>
        <w:t xml:space="preserve">(1) </w:t>
      </w:r>
      <w:r w:rsidR="00610C64" w:rsidRPr="00B9018F">
        <w:rPr>
          <w:sz w:val="24"/>
          <w:szCs w:val="24"/>
        </w:rPr>
        <w:t xml:space="preserve">whether </w:t>
      </w:r>
      <w:r w:rsidR="00B377C2" w:rsidRPr="00B9018F">
        <w:rPr>
          <w:sz w:val="24"/>
          <w:szCs w:val="24"/>
        </w:rPr>
        <w:t xml:space="preserve">the insured is legally obligated to pay for the </w:t>
      </w:r>
      <w:r w:rsidR="00AF3833" w:rsidRPr="00B9018F">
        <w:rPr>
          <w:sz w:val="24"/>
          <w:szCs w:val="24"/>
        </w:rPr>
        <w:t>claimant</w:t>
      </w:r>
      <w:r w:rsidR="009442FB" w:rsidRPr="00B9018F">
        <w:rPr>
          <w:sz w:val="24"/>
          <w:szCs w:val="24"/>
        </w:rPr>
        <w:t>’</w:t>
      </w:r>
      <w:r w:rsidR="00AF3833" w:rsidRPr="00B9018F">
        <w:rPr>
          <w:sz w:val="24"/>
          <w:szCs w:val="24"/>
        </w:rPr>
        <w:t xml:space="preserve">s </w:t>
      </w:r>
      <w:r w:rsidR="00B377C2" w:rsidRPr="00B9018F">
        <w:rPr>
          <w:sz w:val="24"/>
          <w:szCs w:val="24"/>
        </w:rPr>
        <w:t xml:space="preserve">damage, (2) </w:t>
      </w:r>
      <w:r w:rsidR="00610C64">
        <w:rPr>
          <w:sz w:val="24"/>
          <w:szCs w:val="24"/>
        </w:rPr>
        <w:t xml:space="preserve">whether </w:t>
      </w:r>
      <w:r w:rsidR="00B377C2" w:rsidRPr="00B9018F">
        <w:rPr>
          <w:sz w:val="24"/>
          <w:szCs w:val="24"/>
        </w:rPr>
        <w:t xml:space="preserve">the damage was caused by an occurrence, (3) </w:t>
      </w:r>
      <w:r w:rsidR="00610C64">
        <w:rPr>
          <w:sz w:val="24"/>
          <w:szCs w:val="24"/>
        </w:rPr>
        <w:t xml:space="preserve">whether </w:t>
      </w:r>
      <w:r w:rsidR="00B377C2" w:rsidRPr="00B9018F">
        <w:rPr>
          <w:sz w:val="24"/>
          <w:szCs w:val="24"/>
        </w:rPr>
        <w:t xml:space="preserve">the damage occurred during the </w:t>
      </w:r>
      <w:r w:rsidR="00AF3833" w:rsidRPr="00B9018F">
        <w:rPr>
          <w:sz w:val="24"/>
          <w:szCs w:val="24"/>
        </w:rPr>
        <w:t xml:space="preserve">applicable </w:t>
      </w:r>
      <w:r w:rsidR="00B377C2" w:rsidRPr="00B9018F">
        <w:rPr>
          <w:sz w:val="24"/>
          <w:szCs w:val="24"/>
        </w:rPr>
        <w:t>policy period, (4)</w:t>
      </w:r>
      <w:r w:rsidR="00610C64">
        <w:rPr>
          <w:sz w:val="24"/>
          <w:szCs w:val="24"/>
        </w:rPr>
        <w:t xml:space="preserve"> whether </w:t>
      </w:r>
      <w:r w:rsidR="00B377C2" w:rsidRPr="00B9018F">
        <w:rPr>
          <w:sz w:val="24"/>
          <w:szCs w:val="24"/>
        </w:rPr>
        <w:t xml:space="preserve">any other insurers are liable for the loss, and (5) </w:t>
      </w:r>
      <w:r w:rsidR="00610C64">
        <w:rPr>
          <w:sz w:val="24"/>
          <w:szCs w:val="24"/>
        </w:rPr>
        <w:t xml:space="preserve">whether </w:t>
      </w:r>
      <w:r w:rsidR="00AF3833" w:rsidRPr="00B9018F">
        <w:rPr>
          <w:sz w:val="24"/>
          <w:szCs w:val="24"/>
        </w:rPr>
        <w:t>any exclusions apply.</w:t>
      </w:r>
      <w:r w:rsidR="00E05595" w:rsidRPr="00B9018F">
        <w:rPr>
          <w:rStyle w:val="FootnoteReference"/>
          <w:sz w:val="24"/>
          <w:szCs w:val="24"/>
        </w:rPr>
        <w:footnoteReference w:id="7"/>
      </w:r>
    </w:p>
    <w:p w14:paraId="1C935031" w14:textId="77777777" w:rsidR="00FD5A57" w:rsidRPr="00B9018F" w:rsidRDefault="00FD5A57" w:rsidP="00176683">
      <w:pPr>
        <w:jc w:val="both"/>
        <w:rPr>
          <w:sz w:val="24"/>
          <w:szCs w:val="24"/>
        </w:rPr>
      </w:pPr>
    </w:p>
    <w:p w14:paraId="04979FFF" w14:textId="4E1BD6EB" w:rsidR="0071530B" w:rsidRPr="00B9018F" w:rsidRDefault="0071530B" w:rsidP="00176683">
      <w:pPr>
        <w:jc w:val="both"/>
        <w:rPr>
          <w:b/>
          <w:sz w:val="24"/>
          <w:szCs w:val="24"/>
        </w:rPr>
      </w:pPr>
      <w:r w:rsidRPr="00B9018F">
        <w:rPr>
          <w:b/>
          <w:sz w:val="24"/>
          <w:szCs w:val="24"/>
        </w:rPr>
        <w:t>(1)</w:t>
      </w:r>
      <w:r w:rsidRPr="00B9018F">
        <w:rPr>
          <w:b/>
          <w:sz w:val="24"/>
          <w:szCs w:val="24"/>
        </w:rPr>
        <w:tab/>
        <w:t>Is the insured legally obligated to pay for the damage?</w:t>
      </w:r>
    </w:p>
    <w:p w14:paraId="7DBB8642" w14:textId="77777777" w:rsidR="0071530B" w:rsidRPr="00B9018F" w:rsidRDefault="0071530B" w:rsidP="00176683">
      <w:pPr>
        <w:jc w:val="both"/>
        <w:rPr>
          <w:b/>
          <w:sz w:val="24"/>
          <w:szCs w:val="24"/>
        </w:rPr>
      </w:pPr>
    </w:p>
    <w:p w14:paraId="52014DC8" w14:textId="4AE07A04" w:rsidR="0091516C" w:rsidRPr="00B9018F" w:rsidRDefault="0028213C" w:rsidP="0028213C">
      <w:pPr>
        <w:jc w:val="both"/>
        <w:rPr>
          <w:sz w:val="24"/>
          <w:szCs w:val="24"/>
        </w:rPr>
      </w:pPr>
      <w:r w:rsidRPr="00B9018F">
        <w:rPr>
          <w:sz w:val="24"/>
          <w:szCs w:val="24"/>
        </w:rPr>
        <w:tab/>
        <w:t>Under both CG</w:t>
      </w:r>
      <w:r w:rsidR="00BC264B" w:rsidRPr="00B9018F">
        <w:rPr>
          <w:sz w:val="24"/>
          <w:szCs w:val="24"/>
        </w:rPr>
        <w:t xml:space="preserve">L and EIL policies, an insurer </w:t>
      </w:r>
      <w:r w:rsidR="00460494" w:rsidRPr="00B9018F">
        <w:rPr>
          <w:sz w:val="24"/>
          <w:szCs w:val="24"/>
        </w:rPr>
        <w:t>agrees</w:t>
      </w:r>
      <w:r w:rsidR="00941B28" w:rsidRPr="00B9018F">
        <w:rPr>
          <w:sz w:val="24"/>
          <w:szCs w:val="24"/>
        </w:rPr>
        <w:t xml:space="preserve"> generally</w:t>
      </w:r>
      <w:r w:rsidRPr="00B9018F">
        <w:rPr>
          <w:sz w:val="24"/>
          <w:szCs w:val="24"/>
        </w:rPr>
        <w:t xml:space="preserve"> to </w:t>
      </w:r>
      <w:r w:rsidR="00BC264B" w:rsidRPr="00B9018F">
        <w:rPr>
          <w:sz w:val="24"/>
          <w:szCs w:val="24"/>
        </w:rPr>
        <w:t>indemni</w:t>
      </w:r>
      <w:r w:rsidR="00F131C7">
        <w:rPr>
          <w:sz w:val="24"/>
          <w:szCs w:val="24"/>
        </w:rPr>
        <w:t>f</w:t>
      </w:r>
      <w:r w:rsidR="00BC264B" w:rsidRPr="00B9018F">
        <w:rPr>
          <w:sz w:val="24"/>
          <w:szCs w:val="24"/>
        </w:rPr>
        <w:t xml:space="preserve">y its </w:t>
      </w:r>
      <w:r w:rsidR="00460494" w:rsidRPr="00B9018F">
        <w:rPr>
          <w:sz w:val="24"/>
          <w:szCs w:val="24"/>
        </w:rPr>
        <w:t xml:space="preserve">insured against covered losses that </w:t>
      </w:r>
      <w:r w:rsidR="00610C64">
        <w:rPr>
          <w:sz w:val="24"/>
          <w:szCs w:val="24"/>
        </w:rPr>
        <w:t>the insured</w:t>
      </w:r>
      <w:r w:rsidR="00460494" w:rsidRPr="00B9018F">
        <w:rPr>
          <w:sz w:val="24"/>
          <w:szCs w:val="24"/>
        </w:rPr>
        <w:t xml:space="preserve"> becomes legally obligated to pay. </w:t>
      </w:r>
      <w:r w:rsidR="00610C64">
        <w:rPr>
          <w:sz w:val="24"/>
          <w:szCs w:val="24"/>
        </w:rPr>
        <w:t xml:space="preserve">A typical CGL policy, for example, </w:t>
      </w:r>
      <w:r w:rsidR="0091516C" w:rsidRPr="00B9018F">
        <w:rPr>
          <w:sz w:val="24"/>
          <w:szCs w:val="24"/>
        </w:rPr>
        <w:t>contain</w:t>
      </w:r>
      <w:r w:rsidR="00610C64">
        <w:rPr>
          <w:sz w:val="24"/>
          <w:szCs w:val="24"/>
        </w:rPr>
        <w:t>s</w:t>
      </w:r>
      <w:r w:rsidR="0091516C" w:rsidRPr="00B9018F">
        <w:rPr>
          <w:sz w:val="24"/>
          <w:szCs w:val="24"/>
        </w:rPr>
        <w:t xml:space="preserve"> </w:t>
      </w:r>
      <w:r w:rsidR="00610C64">
        <w:rPr>
          <w:sz w:val="24"/>
          <w:szCs w:val="24"/>
        </w:rPr>
        <w:t>the following insuring agreement, which states</w:t>
      </w:r>
      <w:r w:rsidR="0091516C" w:rsidRPr="00B9018F">
        <w:rPr>
          <w:sz w:val="24"/>
          <w:szCs w:val="24"/>
        </w:rPr>
        <w:t>:</w:t>
      </w:r>
    </w:p>
    <w:p w14:paraId="394A3EF5" w14:textId="77777777" w:rsidR="0091516C" w:rsidRPr="00B9018F" w:rsidRDefault="0091516C" w:rsidP="0028213C">
      <w:pPr>
        <w:jc w:val="both"/>
        <w:rPr>
          <w:sz w:val="24"/>
          <w:szCs w:val="24"/>
        </w:rPr>
      </w:pPr>
    </w:p>
    <w:p w14:paraId="27ABFB88" w14:textId="5490038C" w:rsidR="00BC264B" w:rsidRPr="00B9018F" w:rsidRDefault="00BC264B" w:rsidP="0028213C">
      <w:pPr>
        <w:jc w:val="both"/>
        <w:rPr>
          <w:b/>
          <w:sz w:val="24"/>
          <w:szCs w:val="24"/>
        </w:rPr>
      </w:pPr>
      <w:r w:rsidRPr="00B9018F">
        <w:rPr>
          <w:sz w:val="24"/>
          <w:szCs w:val="24"/>
        </w:rPr>
        <w:tab/>
      </w:r>
      <w:r w:rsidRPr="00B9018F">
        <w:rPr>
          <w:b/>
          <w:sz w:val="24"/>
          <w:szCs w:val="24"/>
        </w:rPr>
        <w:t xml:space="preserve">SECTION I – COVERAGES </w:t>
      </w:r>
    </w:p>
    <w:p w14:paraId="33E502ED" w14:textId="77777777" w:rsidR="00BC264B" w:rsidRPr="00B9018F" w:rsidRDefault="00D25BD1" w:rsidP="00D25BD1">
      <w:pPr>
        <w:ind w:left="720" w:right="720"/>
        <w:jc w:val="both"/>
        <w:rPr>
          <w:b/>
          <w:sz w:val="24"/>
          <w:szCs w:val="24"/>
        </w:rPr>
      </w:pPr>
      <w:r w:rsidRPr="00B9018F">
        <w:rPr>
          <w:b/>
          <w:sz w:val="24"/>
          <w:szCs w:val="24"/>
        </w:rPr>
        <w:t>COVERAGE A BODILY INJURY AND PROPERTY</w:t>
      </w:r>
    </w:p>
    <w:p w14:paraId="705E0DD9" w14:textId="7965FD85" w:rsidR="0091516C" w:rsidRPr="00B9018F" w:rsidRDefault="00D25BD1" w:rsidP="00D25BD1">
      <w:pPr>
        <w:ind w:left="720" w:right="720"/>
        <w:jc w:val="both"/>
        <w:rPr>
          <w:b/>
          <w:sz w:val="24"/>
          <w:szCs w:val="24"/>
        </w:rPr>
      </w:pPr>
      <w:r w:rsidRPr="00B9018F">
        <w:rPr>
          <w:b/>
          <w:sz w:val="24"/>
          <w:szCs w:val="24"/>
        </w:rPr>
        <w:t>DAMAGE LIABILITY</w:t>
      </w:r>
    </w:p>
    <w:p w14:paraId="7EA15E8F" w14:textId="77777777" w:rsidR="00D25BD1" w:rsidRPr="00B9018F" w:rsidRDefault="00D25BD1" w:rsidP="00D25BD1">
      <w:pPr>
        <w:ind w:left="720" w:right="720"/>
        <w:jc w:val="both"/>
        <w:rPr>
          <w:b/>
          <w:sz w:val="24"/>
          <w:szCs w:val="24"/>
        </w:rPr>
      </w:pPr>
    </w:p>
    <w:p w14:paraId="440CED66" w14:textId="6C144310" w:rsidR="00D25BD1" w:rsidRPr="00B9018F" w:rsidRDefault="00D25BD1" w:rsidP="00610C64">
      <w:pPr>
        <w:ind w:left="1080" w:right="720" w:hanging="360"/>
        <w:jc w:val="both"/>
        <w:rPr>
          <w:b/>
          <w:sz w:val="24"/>
          <w:szCs w:val="24"/>
        </w:rPr>
      </w:pPr>
      <w:r w:rsidRPr="00B9018F">
        <w:rPr>
          <w:b/>
          <w:sz w:val="24"/>
          <w:szCs w:val="24"/>
        </w:rPr>
        <w:t>1.</w:t>
      </w:r>
      <w:r w:rsidRPr="00B9018F">
        <w:rPr>
          <w:b/>
          <w:sz w:val="24"/>
          <w:szCs w:val="24"/>
        </w:rPr>
        <w:tab/>
        <w:t>Insuring Agreement</w:t>
      </w:r>
    </w:p>
    <w:p w14:paraId="3EFC31EE" w14:textId="77777777" w:rsidR="00D25BD1" w:rsidRPr="00B9018F" w:rsidRDefault="00D25BD1" w:rsidP="00D25BD1">
      <w:pPr>
        <w:ind w:left="720" w:right="720"/>
        <w:jc w:val="both"/>
        <w:rPr>
          <w:b/>
          <w:sz w:val="24"/>
          <w:szCs w:val="24"/>
        </w:rPr>
      </w:pPr>
    </w:p>
    <w:p w14:paraId="605DA137" w14:textId="349AD286" w:rsidR="00D25BD1" w:rsidRPr="00B9018F" w:rsidRDefault="00D25BD1" w:rsidP="00610C64">
      <w:pPr>
        <w:ind w:left="1440" w:right="720" w:hanging="360"/>
        <w:jc w:val="both"/>
        <w:rPr>
          <w:sz w:val="24"/>
          <w:szCs w:val="24"/>
        </w:rPr>
      </w:pPr>
      <w:r w:rsidRPr="00B9018F">
        <w:rPr>
          <w:b/>
          <w:sz w:val="24"/>
          <w:szCs w:val="24"/>
        </w:rPr>
        <w:t>a.</w:t>
      </w:r>
      <w:r w:rsidRPr="00B9018F">
        <w:rPr>
          <w:sz w:val="24"/>
          <w:szCs w:val="24"/>
        </w:rPr>
        <w:tab/>
        <w:t xml:space="preserve">We will pay those sums that the insured becomes legally obligated to pay as damages because of </w:t>
      </w:r>
      <w:r w:rsidR="009442FB" w:rsidRPr="00B9018F">
        <w:rPr>
          <w:sz w:val="24"/>
          <w:szCs w:val="24"/>
        </w:rPr>
        <w:t>“</w:t>
      </w:r>
      <w:r w:rsidRPr="00B9018F">
        <w:rPr>
          <w:sz w:val="24"/>
          <w:szCs w:val="24"/>
        </w:rPr>
        <w:t>bodily injury</w:t>
      </w:r>
      <w:r w:rsidR="009442FB" w:rsidRPr="00B9018F">
        <w:rPr>
          <w:sz w:val="24"/>
          <w:szCs w:val="24"/>
        </w:rPr>
        <w:t>”</w:t>
      </w:r>
      <w:r w:rsidR="00003047" w:rsidRPr="00B9018F">
        <w:rPr>
          <w:rStyle w:val="FootnoteReference"/>
          <w:sz w:val="24"/>
          <w:szCs w:val="24"/>
        </w:rPr>
        <w:footnoteReference w:id="8"/>
      </w:r>
      <w:r w:rsidRPr="00B9018F">
        <w:rPr>
          <w:sz w:val="24"/>
          <w:szCs w:val="24"/>
        </w:rPr>
        <w:t xml:space="preserve"> and </w:t>
      </w:r>
      <w:r w:rsidR="009442FB" w:rsidRPr="00B9018F">
        <w:rPr>
          <w:sz w:val="24"/>
          <w:szCs w:val="24"/>
        </w:rPr>
        <w:t>“</w:t>
      </w:r>
      <w:r w:rsidRPr="00B9018F">
        <w:rPr>
          <w:sz w:val="24"/>
          <w:szCs w:val="24"/>
        </w:rPr>
        <w:t>property damage</w:t>
      </w:r>
      <w:r w:rsidR="009442FB" w:rsidRPr="00B9018F">
        <w:rPr>
          <w:sz w:val="24"/>
          <w:szCs w:val="24"/>
        </w:rPr>
        <w:t>”</w:t>
      </w:r>
      <w:r w:rsidR="00003047" w:rsidRPr="00B9018F">
        <w:rPr>
          <w:rStyle w:val="FootnoteReference"/>
          <w:sz w:val="24"/>
          <w:szCs w:val="24"/>
        </w:rPr>
        <w:footnoteReference w:id="9"/>
      </w:r>
      <w:r w:rsidRPr="00B9018F">
        <w:rPr>
          <w:sz w:val="24"/>
          <w:szCs w:val="24"/>
        </w:rPr>
        <w:t xml:space="preserve"> to which this insurance applies. </w:t>
      </w:r>
      <w:r w:rsidR="00BC264B" w:rsidRPr="00B9018F">
        <w:rPr>
          <w:sz w:val="24"/>
          <w:szCs w:val="24"/>
        </w:rPr>
        <w:t xml:space="preserve">We will have the right and duty to defend the insured against any </w:t>
      </w:r>
      <w:r w:rsidR="009442FB" w:rsidRPr="00B9018F">
        <w:rPr>
          <w:sz w:val="24"/>
          <w:szCs w:val="24"/>
        </w:rPr>
        <w:t>“</w:t>
      </w:r>
      <w:r w:rsidR="00BC264B" w:rsidRPr="00B9018F">
        <w:rPr>
          <w:sz w:val="24"/>
          <w:szCs w:val="24"/>
        </w:rPr>
        <w:t>suit</w:t>
      </w:r>
      <w:r w:rsidR="009442FB" w:rsidRPr="00B9018F">
        <w:rPr>
          <w:sz w:val="24"/>
          <w:szCs w:val="24"/>
        </w:rPr>
        <w:t>”</w:t>
      </w:r>
      <w:r w:rsidR="00BC264B" w:rsidRPr="00B9018F">
        <w:rPr>
          <w:sz w:val="24"/>
          <w:szCs w:val="24"/>
        </w:rPr>
        <w:t xml:space="preserve"> seeking those damages. However, we will have no duty to defend the insured against any </w:t>
      </w:r>
      <w:r w:rsidR="009442FB" w:rsidRPr="00B9018F">
        <w:rPr>
          <w:sz w:val="24"/>
          <w:szCs w:val="24"/>
        </w:rPr>
        <w:t>“</w:t>
      </w:r>
      <w:r w:rsidR="00BC264B" w:rsidRPr="00B9018F">
        <w:rPr>
          <w:sz w:val="24"/>
          <w:szCs w:val="24"/>
        </w:rPr>
        <w:t>suit</w:t>
      </w:r>
      <w:r w:rsidR="009442FB" w:rsidRPr="00B9018F">
        <w:rPr>
          <w:sz w:val="24"/>
          <w:szCs w:val="24"/>
        </w:rPr>
        <w:t>”</w:t>
      </w:r>
      <w:r w:rsidR="00BC264B" w:rsidRPr="00B9018F">
        <w:rPr>
          <w:sz w:val="24"/>
          <w:szCs w:val="24"/>
        </w:rPr>
        <w:t xml:space="preserve"> seeking damages for </w:t>
      </w:r>
      <w:r w:rsidR="009442FB" w:rsidRPr="00B9018F">
        <w:rPr>
          <w:sz w:val="24"/>
          <w:szCs w:val="24"/>
        </w:rPr>
        <w:t>“</w:t>
      </w:r>
      <w:r w:rsidR="00BC264B" w:rsidRPr="00B9018F">
        <w:rPr>
          <w:sz w:val="24"/>
          <w:szCs w:val="24"/>
        </w:rPr>
        <w:t>bodily injury</w:t>
      </w:r>
      <w:r w:rsidR="009442FB" w:rsidRPr="00B9018F">
        <w:rPr>
          <w:sz w:val="24"/>
          <w:szCs w:val="24"/>
        </w:rPr>
        <w:t>”</w:t>
      </w:r>
      <w:r w:rsidR="00BC264B" w:rsidRPr="00B9018F">
        <w:rPr>
          <w:sz w:val="24"/>
          <w:szCs w:val="24"/>
        </w:rPr>
        <w:t xml:space="preserve"> or </w:t>
      </w:r>
      <w:r w:rsidR="009442FB" w:rsidRPr="00B9018F">
        <w:rPr>
          <w:sz w:val="24"/>
          <w:szCs w:val="24"/>
        </w:rPr>
        <w:t>“</w:t>
      </w:r>
      <w:r w:rsidR="00BC264B" w:rsidRPr="00B9018F">
        <w:rPr>
          <w:sz w:val="24"/>
          <w:szCs w:val="24"/>
        </w:rPr>
        <w:t>property damage</w:t>
      </w:r>
      <w:r w:rsidR="009442FB" w:rsidRPr="00B9018F">
        <w:rPr>
          <w:sz w:val="24"/>
          <w:szCs w:val="24"/>
        </w:rPr>
        <w:t>”</w:t>
      </w:r>
      <w:r w:rsidR="00BC264B" w:rsidRPr="00B9018F">
        <w:rPr>
          <w:sz w:val="24"/>
          <w:szCs w:val="24"/>
        </w:rPr>
        <w:t xml:space="preserve"> to which this insurance does not apply. We may, at our discretion, investigate any </w:t>
      </w:r>
      <w:r w:rsidR="009442FB" w:rsidRPr="00B9018F">
        <w:rPr>
          <w:sz w:val="24"/>
          <w:szCs w:val="24"/>
        </w:rPr>
        <w:t>“</w:t>
      </w:r>
      <w:r w:rsidR="00BC264B" w:rsidRPr="00B9018F">
        <w:rPr>
          <w:sz w:val="24"/>
          <w:szCs w:val="24"/>
        </w:rPr>
        <w:t>occurrence</w:t>
      </w:r>
      <w:r w:rsidR="009442FB" w:rsidRPr="00B9018F">
        <w:rPr>
          <w:sz w:val="24"/>
          <w:szCs w:val="24"/>
        </w:rPr>
        <w:t>”</w:t>
      </w:r>
      <w:r w:rsidR="00BC264B" w:rsidRPr="00B9018F">
        <w:rPr>
          <w:sz w:val="24"/>
          <w:szCs w:val="24"/>
        </w:rPr>
        <w:t xml:space="preserve"> and settle any claim or </w:t>
      </w:r>
      <w:r w:rsidR="009442FB" w:rsidRPr="00B9018F">
        <w:rPr>
          <w:sz w:val="24"/>
          <w:szCs w:val="24"/>
        </w:rPr>
        <w:t>“</w:t>
      </w:r>
      <w:r w:rsidR="00BC264B" w:rsidRPr="00B9018F">
        <w:rPr>
          <w:sz w:val="24"/>
          <w:szCs w:val="24"/>
        </w:rPr>
        <w:t>suit</w:t>
      </w:r>
      <w:r w:rsidR="009442FB" w:rsidRPr="00B9018F">
        <w:rPr>
          <w:sz w:val="24"/>
          <w:szCs w:val="24"/>
        </w:rPr>
        <w:t>”</w:t>
      </w:r>
      <w:r w:rsidR="00BC264B" w:rsidRPr="00B9018F">
        <w:rPr>
          <w:sz w:val="24"/>
          <w:szCs w:val="24"/>
        </w:rPr>
        <w:t xml:space="preserve"> that may result. But:</w:t>
      </w:r>
    </w:p>
    <w:p w14:paraId="4556432E" w14:textId="77777777" w:rsidR="00BC264B" w:rsidRPr="00B9018F" w:rsidRDefault="00BC264B" w:rsidP="00D25BD1">
      <w:pPr>
        <w:ind w:left="1440" w:right="720" w:hanging="360"/>
        <w:jc w:val="both"/>
        <w:rPr>
          <w:sz w:val="24"/>
          <w:szCs w:val="24"/>
        </w:rPr>
      </w:pPr>
    </w:p>
    <w:p w14:paraId="7CFCE0A1" w14:textId="15A3F3E8" w:rsidR="00BC264B" w:rsidRPr="00B9018F" w:rsidRDefault="00BC264B" w:rsidP="00610C64">
      <w:pPr>
        <w:ind w:left="1800" w:right="720" w:hanging="360"/>
        <w:jc w:val="both"/>
        <w:rPr>
          <w:sz w:val="24"/>
          <w:szCs w:val="24"/>
        </w:rPr>
      </w:pPr>
      <w:r w:rsidRPr="00B9018F">
        <w:rPr>
          <w:b/>
          <w:sz w:val="24"/>
          <w:szCs w:val="24"/>
        </w:rPr>
        <w:t>(1)</w:t>
      </w:r>
      <w:r w:rsidRPr="00B9018F">
        <w:rPr>
          <w:sz w:val="24"/>
          <w:szCs w:val="24"/>
        </w:rPr>
        <w:t xml:space="preserve"> The amount we will pay for damages is limited as described in Section </w:t>
      </w:r>
      <w:r w:rsidRPr="00B9018F">
        <w:rPr>
          <w:b/>
          <w:sz w:val="24"/>
          <w:szCs w:val="24"/>
        </w:rPr>
        <w:t>III</w:t>
      </w:r>
      <w:r w:rsidRPr="00B9018F">
        <w:rPr>
          <w:sz w:val="24"/>
          <w:szCs w:val="24"/>
        </w:rPr>
        <w:t xml:space="preserve"> – Limits Of Insurance; and </w:t>
      </w:r>
    </w:p>
    <w:p w14:paraId="27216A95" w14:textId="77777777" w:rsidR="00BC264B" w:rsidRPr="00B9018F" w:rsidRDefault="00BC264B" w:rsidP="00D25BD1">
      <w:pPr>
        <w:ind w:left="1440" w:right="720" w:hanging="360"/>
        <w:jc w:val="both"/>
        <w:rPr>
          <w:sz w:val="24"/>
          <w:szCs w:val="24"/>
        </w:rPr>
      </w:pPr>
    </w:p>
    <w:p w14:paraId="2D9DB134" w14:textId="4757A76A" w:rsidR="00BC264B" w:rsidRPr="00B9018F" w:rsidRDefault="00BC264B" w:rsidP="00610C64">
      <w:pPr>
        <w:ind w:left="1800" w:right="720" w:hanging="360"/>
        <w:jc w:val="both"/>
        <w:rPr>
          <w:sz w:val="24"/>
          <w:szCs w:val="24"/>
        </w:rPr>
      </w:pPr>
      <w:r w:rsidRPr="00B9018F">
        <w:rPr>
          <w:b/>
          <w:sz w:val="24"/>
          <w:szCs w:val="24"/>
        </w:rPr>
        <w:t>(2)</w:t>
      </w:r>
      <w:r w:rsidRPr="00B9018F">
        <w:rPr>
          <w:sz w:val="24"/>
          <w:szCs w:val="24"/>
        </w:rPr>
        <w:t xml:space="preserve"> Our right and duty to defend ends when we have used up the applicable limit of insurance in the payment of judgments or settlements under Coverage </w:t>
      </w:r>
      <w:r w:rsidRPr="00B9018F">
        <w:rPr>
          <w:b/>
          <w:sz w:val="24"/>
          <w:szCs w:val="24"/>
        </w:rPr>
        <w:t>A</w:t>
      </w:r>
      <w:r w:rsidRPr="00B9018F">
        <w:rPr>
          <w:sz w:val="24"/>
          <w:szCs w:val="24"/>
        </w:rPr>
        <w:t xml:space="preserve"> or </w:t>
      </w:r>
      <w:r w:rsidRPr="00B9018F">
        <w:rPr>
          <w:b/>
          <w:sz w:val="24"/>
          <w:szCs w:val="24"/>
        </w:rPr>
        <w:t>B</w:t>
      </w:r>
      <w:r w:rsidRPr="00B9018F">
        <w:rPr>
          <w:sz w:val="24"/>
          <w:szCs w:val="24"/>
        </w:rPr>
        <w:t xml:space="preserve"> or medical expenses under Coverage </w:t>
      </w:r>
      <w:r w:rsidRPr="00B9018F">
        <w:rPr>
          <w:b/>
          <w:sz w:val="24"/>
          <w:szCs w:val="24"/>
        </w:rPr>
        <w:t>C</w:t>
      </w:r>
      <w:r w:rsidRPr="00B9018F">
        <w:rPr>
          <w:sz w:val="24"/>
          <w:szCs w:val="24"/>
        </w:rPr>
        <w:t xml:space="preserve">. </w:t>
      </w:r>
    </w:p>
    <w:p w14:paraId="1E874B12" w14:textId="77777777" w:rsidR="00BC264B" w:rsidRPr="00B9018F" w:rsidRDefault="00BC264B" w:rsidP="00D25BD1">
      <w:pPr>
        <w:ind w:left="1440" w:right="720" w:hanging="360"/>
        <w:jc w:val="both"/>
        <w:rPr>
          <w:sz w:val="24"/>
          <w:szCs w:val="24"/>
        </w:rPr>
      </w:pPr>
    </w:p>
    <w:p w14:paraId="08BE57FE" w14:textId="002F06B8" w:rsidR="00BC264B" w:rsidRPr="00B9018F" w:rsidRDefault="00BC264B" w:rsidP="00610C64">
      <w:pPr>
        <w:ind w:left="1440" w:right="720"/>
        <w:jc w:val="both"/>
        <w:rPr>
          <w:sz w:val="24"/>
          <w:szCs w:val="24"/>
        </w:rPr>
      </w:pPr>
      <w:r w:rsidRPr="00B9018F">
        <w:rPr>
          <w:sz w:val="24"/>
          <w:szCs w:val="24"/>
        </w:rPr>
        <w:t xml:space="preserve">No other obligation or liability to pay sums or perform acts or services is covered unless explicitly provided for under Supplementary Payments – Coverages </w:t>
      </w:r>
      <w:r w:rsidRPr="00B9018F">
        <w:rPr>
          <w:b/>
          <w:sz w:val="24"/>
          <w:szCs w:val="24"/>
        </w:rPr>
        <w:t>A</w:t>
      </w:r>
      <w:r w:rsidRPr="00B9018F">
        <w:rPr>
          <w:sz w:val="24"/>
          <w:szCs w:val="24"/>
        </w:rPr>
        <w:t xml:space="preserve"> and </w:t>
      </w:r>
      <w:r w:rsidRPr="00B9018F">
        <w:rPr>
          <w:b/>
          <w:sz w:val="24"/>
          <w:szCs w:val="24"/>
        </w:rPr>
        <w:t>B</w:t>
      </w:r>
      <w:r w:rsidRPr="00B9018F">
        <w:rPr>
          <w:sz w:val="24"/>
          <w:szCs w:val="24"/>
        </w:rPr>
        <w:t xml:space="preserve">. </w:t>
      </w:r>
    </w:p>
    <w:p w14:paraId="48029046" w14:textId="77777777" w:rsidR="00BC264B" w:rsidRPr="00B9018F" w:rsidRDefault="00BC264B" w:rsidP="00BC264B">
      <w:pPr>
        <w:ind w:left="1080" w:right="720"/>
        <w:jc w:val="both"/>
        <w:rPr>
          <w:sz w:val="24"/>
          <w:szCs w:val="24"/>
        </w:rPr>
      </w:pPr>
    </w:p>
    <w:p w14:paraId="2565B3DC" w14:textId="02FBF6F5" w:rsidR="00BC264B" w:rsidRPr="00B9018F" w:rsidRDefault="00BC264B" w:rsidP="00610C64">
      <w:pPr>
        <w:ind w:left="1440" w:right="720" w:hanging="360"/>
        <w:jc w:val="both"/>
        <w:rPr>
          <w:sz w:val="24"/>
          <w:szCs w:val="24"/>
        </w:rPr>
      </w:pPr>
      <w:r w:rsidRPr="00B9018F">
        <w:rPr>
          <w:b/>
          <w:sz w:val="24"/>
          <w:szCs w:val="24"/>
        </w:rPr>
        <w:t>b.</w:t>
      </w:r>
      <w:r w:rsidRPr="00B9018F">
        <w:rPr>
          <w:sz w:val="24"/>
          <w:szCs w:val="24"/>
        </w:rPr>
        <w:t xml:space="preserve"> This insurance applies to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and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only if: </w:t>
      </w:r>
    </w:p>
    <w:p w14:paraId="1E3303C9" w14:textId="77777777" w:rsidR="00BC264B" w:rsidRPr="00B9018F" w:rsidRDefault="00BC264B" w:rsidP="00BC264B">
      <w:pPr>
        <w:ind w:left="1080" w:right="720"/>
        <w:jc w:val="both"/>
        <w:rPr>
          <w:sz w:val="24"/>
          <w:szCs w:val="24"/>
        </w:rPr>
      </w:pPr>
    </w:p>
    <w:p w14:paraId="73D61F82" w14:textId="0DFC1B77" w:rsidR="00BC264B" w:rsidRPr="00B9018F" w:rsidRDefault="00BC264B" w:rsidP="00610C64">
      <w:pPr>
        <w:ind w:left="1800" w:right="720" w:hanging="360"/>
        <w:jc w:val="both"/>
        <w:rPr>
          <w:sz w:val="24"/>
          <w:szCs w:val="24"/>
        </w:rPr>
      </w:pPr>
      <w:r w:rsidRPr="00B9018F">
        <w:rPr>
          <w:b/>
          <w:sz w:val="24"/>
          <w:szCs w:val="24"/>
        </w:rPr>
        <w:t>(1)</w:t>
      </w:r>
      <w:r w:rsidRPr="00B9018F">
        <w:rPr>
          <w:sz w:val="24"/>
          <w:szCs w:val="24"/>
        </w:rPr>
        <w:t xml:space="preserve"> This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is caused by an occurrence that takes place in the </w:t>
      </w:r>
      <w:r w:rsidR="009442FB" w:rsidRPr="00B9018F">
        <w:rPr>
          <w:sz w:val="24"/>
          <w:szCs w:val="24"/>
        </w:rPr>
        <w:t>“</w:t>
      </w:r>
      <w:r w:rsidRPr="00B9018F">
        <w:rPr>
          <w:sz w:val="24"/>
          <w:szCs w:val="24"/>
        </w:rPr>
        <w:t>coverage territory</w:t>
      </w:r>
      <w:r w:rsidR="009442FB" w:rsidRPr="00B9018F">
        <w:rPr>
          <w:sz w:val="24"/>
          <w:szCs w:val="24"/>
        </w:rPr>
        <w:t>”</w:t>
      </w:r>
      <w:r w:rsidRPr="00B9018F">
        <w:rPr>
          <w:sz w:val="24"/>
          <w:szCs w:val="24"/>
        </w:rPr>
        <w:t>;</w:t>
      </w:r>
    </w:p>
    <w:p w14:paraId="164670DD" w14:textId="77777777" w:rsidR="00FA7DF9" w:rsidRPr="00B9018F" w:rsidRDefault="00FA7DF9" w:rsidP="00FA7DF9">
      <w:pPr>
        <w:ind w:left="1440" w:right="720" w:hanging="360"/>
        <w:jc w:val="both"/>
        <w:rPr>
          <w:sz w:val="24"/>
          <w:szCs w:val="24"/>
        </w:rPr>
      </w:pPr>
    </w:p>
    <w:p w14:paraId="0FE3F70F" w14:textId="1A61C108" w:rsidR="00BC264B" w:rsidRPr="00B9018F" w:rsidRDefault="00BC264B" w:rsidP="00610C64">
      <w:pPr>
        <w:ind w:left="1800" w:right="720" w:hanging="360"/>
        <w:jc w:val="both"/>
        <w:rPr>
          <w:sz w:val="24"/>
          <w:szCs w:val="24"/>
        </w:rPr>
      </w:pPr>
      <w:r w:rsidRPr="00B9018F">
        <w:rPr>
          <w:b/>
          <w:sz w:val="24"/>
          <w:szCs w:val="24"/>
        </w:rPr>
        <w:t>(2)</w:t>
      </w:r>
      <w:r w:rsidRPr="00B9018F">
        <w:rPr>
          <w:sz w:val="24"/>
          <w:szCs w:val="24"/>
        </w:rPr>
        <w:t xml:space="preserve"> The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property damage</w:t>
      </w:r>
      <w:r w:rsidR="009442FB" w:rsidRPr="00B9018F">
        <w:rPr>
          <w:sz w:val="24"/>
          <w:szCs w:val="24"/>
        </w:rPr>
        <w:t>”</w:t>
      </w:r>
      <w:r w:rsidR="003073A7" w:rsidRPr="00B9018F">
        <w:rPr>
          <w:sz w:val="24"/>
          <w:szCs w:val="24"/>
        </w:rPr>
        <w:t xml:space="preserve"> occurs during the policy period; and </w:t>
      </w:r>
    </w:p>
    <w:p w14:paraId="27649EAF" w14:textId="77777777" w:rsidR="00FA7DF9" w:rsidRPr="00B9018F" w:rsidRDefault="00FA7DF9" w:rsidP="00FA7DF9">
      <w:pPr>
        <w:ind w:left="1440" w:right="720" w:hanging="360"/>
        <w:jc w:val="both"/>
        <w:rPr>
          <w:sz w:val="24"/>
          <w:szCs w:val="24"/>
        </w:rPr>
      </w:pPr>
    </w:p>
    <w:p w14:paraId="391B1986" w14:textId="73015697" w:rsidR="003073A7" w:rsidRPr="00B9018F" w:rsidRDefault="003073A7" w:rsidP="00610C64">
      <w:pPr>
        <w:ind w:left="1800" w:right="720" w:hanging="360"/>
        <w:jc w:val="both"/>
        <w:rPr>
          <w:sz w:val="24"/>
          <w:szCs w:val="24"/>
        </w:rPr>
      </w:pPr>
      <w:r w:rsidRPr="00B9018F">
        <w:rPr>
          <w:b/>
          <w:sz w:val="24"/>
          <w:szCs w:val="24"/>
        </w:rPr>
        <w:t>(3)</w:t>
      </w:r>
      <w:r w:rsidRPr="00B9018F">
        <w:rPr>
          <w:sz w:val="24"/>
          <w:szCs w:val="24"/>
        </w:rPr>
        <w:t xml:space="preserve"> Prior to the policy period, no insured listed under Paragraph </w:t>
      </w:r>
      <w:r w:rsidRPr="00B9018F">
        <w:rPr>
          <w:b/>
          <w:sz w:val="24"/>
          <w:szCs w:val="24"/>
        </w:rPr>
        <w:t>1.</w:t>
      </w:r>
      <w:r w:rsidRPr="00B9018F">
        <w:rPr>
          <w:sz w:val="24"/>
          <w:szCs w:val="24"/>
        </w:rPr>
        <w:t xml:space="preserve"> of Section </w:t>
      </w:r>
      <w:r w:rsidRPr="00B9018F">
        <w:rPr>
          <w:b/>
          <w:sz w:val="24"/>
          <w:szCs w:val="24"/>
        </w:rPr>
        <w:t>II</w:t>
      </w:r>
      <w:r w:rsidRPr="00B9018F">
        <w:rPr>
          <w:sz w:val="24"/>
          <w:szCs w:val="24"/>
        </w:rPr>
        <w:t xml:space="preserve"> – Who Is An Insured and no </w:t>
      </w:r>
      <w:r w:rsidR="009442FB" w:rsidRPr="00B9018F">
        <w:rPr>
          <w:sz w:val="24"/>
          <w:szCs w:val="24"/>
        </w:rPr>
        <w:t>“</w:t>
      </w:r>
      <w:r w:rsidRPr="00B9018F">
        <w:rPr>
          <w:sz w:val="24"/>
          <w:szCs w:val="24"/>
        </w:rPr>
        <w:t>employee</w:t>
      </w:r>
      <w:r w:rsidR="009442FB" w:rsidRPr="00B9018F">
        <w:rPr>
          <w:sz w:val="24"/>
          <w:szCs w:val="24"/>
        </w:rPr>
        <w:t>”</w:t>
      </w:r>
      <w:r w:rsidRPr="00B9018F">
        <w:rPr>
          <w:sz w:val="24"/>
          <w:szCs w:val="24"/>
        </w:rPr>
        <w:t xml:space="preserve"> authorized by you to give or received notice of an </w:t>
      </w:r>
      <w:r w:rsidR="009442FB" w:rsidRPr="00B9018F">
        <w:rPr>
          <w:sz w:val="24"/>
          <w:szCs w:val="24"/>
        </w:rPr>
        <w:t>“</w:t>
      </w:r>
      <w:r w:rsidRPr="00B9018F">
        <w:rPr>
          <w:sz w:val="24"/>
          <w:szCs w:val="24"/>
        </w:rPr>
        <w:t>occurrence</w:t>
      </w:r>
      <w:r w:rsidR="009442FB" w:rsidRPr="00B9018F">
        <w:rPr>
          <w:sz w:val="24"/>
          <w:szCs w:val="24"/>
        </w:rPr>
        <w:t>”</w:t>
      </w:r>
      <w:r w:rsidRPr="00B9018F">
        <w:rPr>
          <w:sz w:val="24"/>
          <w:szCs w:val="24"/>
        </w:rPr>
        <w:t xml:space="preserve"> or claim, knew that the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had occurred, in whole or in part. If such a listed insured or authorized </w:t>
      </w:r>
      <w:r w:rsidR="009442FB" w:rsidRPr="00B9018F">
        <w:rPr>
          <w:sz w:val="24"/>
          <w:szCs w:val="24"/>
        </w:rPr>
        <w:t>“</w:t>
      </w:r>
      <w:r w:rsidRPr="00B9018F">
        <w:rPr>
          <w:sz w:val="24"/>
          <w:szCs w:val="24"/>
        </w:rPr>
        <w:t>employee</w:t>
      </w:r>
      <w:r w:rsidR="009442FB" w:rsidRPr="00B9018F">
        <w:rPr>
          <w:sz w:val="24"/>
          <w:szCs w:val="24"/>
        </w:rPr>
        <w:t>”</w:t>
      </w:r>
      <w:r w:rsidRPr="00B9018F">
        <w:rPr>
          <w:sz w:val="24"/>
          <w:szCs w:val="24"/>
        </w:rPr>
        <w:t xml:space="preserve"> knew, prior to the policy period, that the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occurred, then any continuation, change or resumption of such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during or after the policy period will be deemed to have been known prior to the policy period. </w:t>
      </w:r>
    </w:p>
    <w:p w14:paraId="2B31C65C" w14:textId="77777777" w:rsidR="003073A7" w:rsidRPr="00B9018F" w:rsidRDefault="003073A7" w:rsidP="00BC264B">
      <w:pPr>
        <w:ind w:left="1080" w:right="720"/>
        <w:jc w:val="both"/>
        <w:rPr>
          <w:sz w:val="24"/>
          <w:szCs w:val="24"/>
        </w:rPr>
      </w:pPr>
    </w:p>
    <w:p w14:paraId="4B8BE543" w14:textId="2ADC9252" w:rsidR="003073A7" w:rsidRPr="00B9018F" w:rsidRDefault="003073A7" w:rsidP="00610C64">
      <w:pPr>
        <w:ind w:left="1440" w:right="720" w:hanging="360"/>
        <w:jc w:val="both"/>
        <w:rPr>
          <w:sz w:val="24"/>
          <w:szCs w:val="24"/>
        </w:rPr>
      </w:pPr>
      <w:r w:rsidRPr="00B9018F">
        <w:rPr>
          <w:b/>
          <w:sz w:val="24"/>
          <w:szCs w:val="24"/>
        </w:rPr>
        <w:t>c.</w:t>
      </w:r>
      <w:r w:rsidRPr="00B9018F">
        <w:rPr>
          <w:sz w:val="24"/>
          <w:szCs w:val="24"/>
        </w:rPr>
        <w:t xml:space="preserve">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which occurs during the policy period and was not, prior to the policy period, known to have occurred by any insured listed under Paragraph </w:t>
      </w:r>
      <w:r w:rsidRPr="00B9018F">
        <w:rPr>
          <w:b/>
          <w:sz w:val="24"/>
          <w:szCs w:val="24"/>
        </w:rPr>
        <w:t>1</w:t>
      </w:r>
      <w:r w:rsidRPr="00B9018F">
        <w:rPr>
          <w:sz w:val="24"/>
          <w:szCs w:val="24"/>
        </w:rPr>
        <w:t xml:space="preserve">. of Section </w:t>
      </w:r>
      <w:r w:rsidRPr="00B9018F">
        <w:rPr>
          <w:b/>
          <w:sz w:val="24"/>
          <w:szCs w:val="24"/>
        </w:rPr>
        <w:t>II</w:t>
      </w:r>
      <w:r w:rsidRPr="00B9018F">
        <w:rPr>
          <w:sz w:val="24"/>
          <w:szCs w:val="24"/>
        </w:rPr>
        <w:t xml:space="preserve"> – Who Is An Insured or any </w:t>
      </w:r>
      <w:r w:rsidR="009442FB" w:rsidRPr="00B9018F">
        <w:rPr>
          <w:sz w:val="24"/>
          <w:szCs w:val="24"/>
        </w:rPr>
        <w:t>“</w:t>
      </w:r>
      <w:r w:rsidRPr="00B9018F">
        <w:rPr>
          <w:sz w:val="24"/>
          <w:szCs w:val="24"/>
        </w:rPr>
        <w:t>employee</w:t>
      </w:r>
      <w:r w:rsidR="009442FB" w:rsidRPr="00B9018F">
        <w:rPr>
          <w:sz w:val="24"/>
          <w:szCs w:val="24"/>
        </w:rPr>
        <w:t>”</w:t>
      </w:r>
      <w:r w:rsidRPr="00B9018F">
        <w:rPr>
          <w:sz w:val="24"/>
          <w:szCs w:val="24"/>
        </w:rPr>
        <w:t xml:space="preserve"> authorized by you to give or receive notice of an </w:t>
      </w:r>
      <w:r w:rsidR="009442FB" w:rsidRPr="00B9018F">
        <w:rPr>
          <w:sz w:val="24"/>
          <w:szCs w:val="24"/>
        </w:rPr>
        <w:t>“</w:t>
      </w:r>
      <w:r w:rsidRPr="00B9018F">
        <w:rPr>
          <w:sz w:val="24"/>
          <w:szCs w:val="24"/>
        </w:rPr>
        <w:t>occurrence</w:t>
      </w:r>
      <w:r w:rsidR="009442FB" w:rsidRPr="00B9018F">
        <w:rPr>
          <w:sz w:val="24"/>
          <w:szCs w:val="24"/>
        </w:rPr>
        <w:t>”</w:t>
      </w:r>
      <w:r w:rsidRPr="00B9018F">
        <w:rPr>
          <w:sz w:val="24"/>
          <w:szCs w:val="24"/>
        </w:rPr>
        <w:t xml:space="preserve"> or claim, includes any continuation, change or resumption of that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after the end of the policy period. </w:t>
      </w:r>
    </w:p>
    <w:p w14:paraId="4C5D720D" w14:textId="77777777" w:rsidR="003073A7" w:rsidRPr="00B9018F" w:rsidRDefault="003073A7" w:rsidP="00FA7DF9">
      <w:pPr>
        <w:ind w:left="1080" w:right="720" w:hanging="360"/>
        <w:jc w:val="both"/>
        <w:rPr>
          <w:sz w:val="24"/>
          <w:szCs w:val="24"/>
        </w:rPr>
      </w:pPr>
    </w:p>
    <w:p w14:paraId="21504FA0" w14:textId="104E7543" w:rsidR="003073A7" w:rsidRPr="00B9018F" w:rsidRDefault="003073A7" w:rsidP="00610C64">
      <w:pPr>
        <w:ind w:left="1440" w:right="720" w:hanging="360"/>
        <w:jc w:val="both"/>
        <w:rPr>
          <w:sz w:val="24"/>
          <w:szCs w:val="24"/>
        </w:rPr>
      </w:pPr>
      <w:r w:rsidRPr="00B9018F">
        <w:rPr>
          <w:b/>
          <w:sz w:val="24"/>
          <w:szCs w:val="24"/>
        </w:rPr>
        <w:t>d.</w:t>
      </w:r>
      <w:r w:rsidRPr="00B9018F">
        <w:rPr>
          <w:sz w:val="24"/>
          <w:szCs w:val="24"/>
        </w:rPr>
        <w:t xml:space="preserve">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will be deemed to have been known to have occurred at the earliest time when any insured listed under P</w:t>
      </w:r>
      <w:r w:rsidR="00F131C7">
        <w:rPr>
          <w:sz w:val="24"/>
          <w:szCs w:val="24"/>
        </w:rPr>
        <w:t>ar</w:t>
      </w:r>
      <w:r w:rsidRPr="00B9018F">
        <w:rPr>
          <w:sz w:val="24"/>
          <w:szCs w:val="24"/>
        </w:rPr>
        <w:t xml:space="preserve">agraph </w:t>
      </w:r>
      <w:r w:rsidRPr="00B9018F">
        <w:rPr>
          <w:b/>
          <w:sz w:val="24"/>
          <w:szCs w:val="24"/>
        </w:rPr>
        <w:t>1.</w:t>
      </w:r>
      <w:r w:rsidRPr="00B9018F">
        <w:rPr>
          <w:sz w:val="24"/>
          <w:szCs w:val="24"/>
        </w:rPr>
        <w:t xml:space="preserve"> of Section </w:t>
      </w:r>
      <w:r w:rsidRPr="00B9018F">
        <w:rPr>
          <w:b/>
          <w:sz w:val="24"/>
          <w:szCs w:val="24"/>
        </w:rPr>
        <w:t>II</w:t>
      </w:r>
      <w:r w:rsidRPr="00B9018F">
        <w:rPr>
          <w:sz w:val="24"/>
          <w:szCs w:val="24"/>
        </w:rPr>
        <w:t xml:space="preserve"> – Who Is An Insured or any </w:t>
      </w:r>
      <w:r w:rsidR="009442FB" w:rsidRPr="00B9018F">
        <w:rPr>
          <w:sz w:val="24"/>
          <w:szCs w:val="24"/>
        </w:rPr>
        <w:t>“</w:t>
      </w:r>
      <w:r w:rsidRPr="00B9018F">
        <w:rPr>
          <w:sz w:val="24"/>
          <w:szCs w:val="24"/>
        </w:rPr>
        <w:t>employee</w:t>
      </w:r>
      <w:r w:rsidR="009442FB" w:rsidRPr="00B9018F">
        <w:rPr>
          <w:sz w:val="24"/>
          <w:szCs w:val="24"/>
        </w:rPr>
        <w:t>”</w:t>
      </w:r>
      <w:r w:rsidRPr="00B9018F">
        <w:rPr>
          <w:sz w:val="24"/>
          <w:szCs w:val="24"/>
        </w:rPr>
        <w:t xml:space="preserve"> authorized by you to give or receive notice of an </w:t>
      </w:r>
      <w:r w:rsidR="009442FB" w:rsidRPr="00B9018F">
        <w:rPr>
          <w:sz w:val="24"/>
          <w:szCs w:val="24"/>
        </w:rPr>
        <w:t>“</w:t>
      </w:r>
      <w:r w:rsidRPr="00B9018F">
        <w:rPr>
          <w:sz w:val="24"/>
          <w:szCs w:val="24"/>
        </w:rPr>
        <w:t>occurrence</w:t>
      </w:r>
      <w:r w:rsidR="009442FB" w:rsidRPr="00B9018F">
        <w:rPr>
          <w:sz w:val="24"/>
          <w:szCs w:val="24"/>
        </w:rPr>
        <w:t>”</w:t>
      </w:r>
      <w:r w:rsidRPr="00B9018F">
        <w:rPr>
          <w:sz w:val="24"/>
          <w:szCs w:val="24"/>
        </w:rPr>
        <w:t xml:space="preserve"> or claim: </w:t>
      </w:r>
    </w:p>
    <w:p w14:paraId="58A2DD4C" w14:textId="77777777" w:rsidR="003073A7" w:rsidRPr="00B9018F" w:rsidRDefault="003073A7" w:rsidP="00BC264B">
      <w:pPr>
        <w:ind w:left="1080" w:right="720"/>
        <w:jc w:val="both"/>
        <w:rPr>
          <w:sz w:val="24"/>
          <w:szCs w:val="24"/>
        </w:rPr>
      </w:pPr>
    </w:p>
    <w:p w14:paraId="4392A07E" w14:textId="1153796B" w:rsidR="003073A7" w:rsidRPr="00B9018F" w:rsidRDefault="003073A7" w:rsidP="00610C64">
      <w:pPr>
        <w:ind w:left="1800" w:right="720" w:hanging="360"/>
        <w:jc w:val="both"/>
        <w:rPr>
          <w:sz w:val="24"/>
          <w:szCs w:val="24"/>
        </w:rPr>
      </w:pPr>
      <w:r w:rsidRPr="00B9018F">
        <w:rPr>
          <w:b/>
          <w:sz w:val="24"/>
          <w:szCs w:val="24"/>
        </w:rPr>
        <w:t>(1)</w:t>
      </w:r>
      <w:r w:rsidRPr="00B9018F">
        <w:rPr>
          <w:sz w:val="24"/>
          <w:szCs w:val="24"/>
        </w:rPr>
        <w:t xml:space="preserve"> Reports all, or any part, of the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to us or to any other insurer; </w:t>
      </w:r>
    </w:p>
    <w:p w14:paraId="5A287597" w14:textId="77777777" w:rsidR="00FA7DF9" w:rsidRPr="00B9018F" w:rsidRDefault="00FA7DF9" w:rsidP="00FA7DF9">
      <w:pPr>
        <w:ind w:left="1440" w:right="720" w:hanging="360"/>
        <w:jc w:val="both"/>
        <w:rPr>
          <w:sz w:val="24"/>
          <w:szCs w:val="24"/>
        </w:rPr>
      </w:pPr>
    </w:p>
    <w:p w14:paraId="4C73DE31" w14:textId="2CF53EAB" w:rsidR="003073A7" w:rsidRPr="00B9018F" w:rsidRDefault="003073A7" w:rsidP="00610C64">
      <w:pPr>
        <w:ind w:left="1800" w:right="720" w:hanging="360"/>
        <w:jc w:val="both"/>
        <w:rPr>
          <w:sz w:val="24"/>
          <w:szCs w:val="24"/>
        </w:rPr>
      </w:pPr>
      <w:r w:rsidRPr="00B9018F">
        <w:rPr>
          <w:b/>
          <w:sz w:val="24"/>
          <w:szCs w:val="24"/>
        </w:rPr>
        <w:t>(2)</w:t>
      </w:r>
      <w:r w:rsidRPr="00B9018F">
        <w:rPr>
          <w:sz w:val="24"/>
          <w:szCs w:val="24"/>
        </w:rPr>
        <w:t xml:space="preserve"> Receives a written or verbal deman</w:t>
      </w:r>
      <w:r w:rsidR="00F131C7">
        <w:rPr>
          <w:sz w:val="24"/>
          <w:szCs w:val="24"/>
        </w:rPr>
        <w:t>d</w:t>
      </w:r>
      <w:r w:rsidRPr="00B9018F">
        <w:rPr>
          <w:sz w:val="24"/>
          <w:szCs w:val="24"/>
        </w:rPr>
        <w:t xml:space="preserve"> or claim for damages because of the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or </w:t>
      </w:r>
    </w:p>
    <w:p w14:paraId="5D340FC6" w14:textId="77777777" w:rsidR="00FA7DF9" w:rsidRPr="00B9018F" w:rsidRDefault="00FA7DF9" w:rsidP="00FA7DF9">
      <w:pPr>
        <w:ind w:left="1440" w:right="720" w:hanging="360"/>
        <w:jc w:val="both"/>
        <w:rPr>
          <w:sz w:val="24"/>
          <w:szCs w:val="24"/>
        </w:rPr>
      </w:pPr>
    </w:p>
    <w:p w14:paraId="7037B093" w14:textId="4585DA84" w:rsidR="003073A7" w:rsidRPr="00B9018F" w:rsidRDefault="003073A7" w:rsidP="00610C64">
      <w:pPr>
        <w:ind w:left="1800" w:right="720" w:hanging="360"/>
        <w:jc w:val="both"/>
        <w:rPr>
          <w:sz w:val="24"/>
          <w:szCs w:val="24"/>
        </w:rPr>
      </w:pPr>
      <w:r w:rsidRPr="00B9018F">
        <w:rPr>
          <w:b/>
          <w:sz w:val="24"/>
          <w:szCs w:val="24"/>
        </w:rPr>
        <w:t>(3)</w:t>
      </w:r>
      <w:r w:rsidRPr="00B9018F">
        <w:rPr>
          <w:sz w:val="24"/>
          <w:szCs w:val="24"/>
        </w:rPr>
        <w:t xml:space="preserve"> Becomes aware by any other means that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has occurred or has begun to occur. </w:t>
      </w:r>
    </w:p>
    <w:p w14:paraId="2859B095" w14:textId="77777777" w:rsidR="003073A7" w:rsidRPr="00B9018F" w:rsidRDefault="003073A7" w:rsidP="00BC264B">
      <w:pPr>
        <w:ind w:left="1080" w:right="720"/>
        <w:jc w:val="both"/>
        <w:rPr>
          <w:sz w:val="24"/>
          <w:szCs w:val="24"/>
        </w:rPr>
      </w:pPr>
    </w:p>
    <w:p w14:paraId="6378B67B" w14:textId="08FFA84B" w:rsidR="003073A7" w:rsidRPr="00B9018F" w:rsidRDefault="003073A7" w:rsidP="00610C64">
      <w:pPr>
        <w:ind w:left="1440" w:right="720" w:hanging="360"/>
        <w:jc w:val="both"/>
        <w:rPr>
          <w:sz w:val="24"/>
          <w:szCs w:val="24"/>
        </w:rPr>
      </w:pPr>
      <w:r w:rsidRPr="00B9018F">
        <w:rPr>
          <w:b/>
          <w:sz w:val="24"/>
          <w:szCs w:val="24"/>
        </w:rPr>
        <w:t>e.</w:t>
      </w:r>
      <w:r w:rsidRPr="00B9018F">
        <w:rPr>
          <w:sz w:val="24"/>
          <w:szCs w:val="24"/>
        </w:rPr>
        <w:t xml:space="preserve"> Damages because of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include damages claimed by any person or organization for care, loss of services or death resulting at any time from the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w:t>
      </w:r>
    </w:p>
    <w:p w14:paraId="248FD741" w14:textId="77777777" w:rsidR="0091516C" w:rsidRPr="00B9018F" w:rsidRDefault="0091516C" w:rsidP="0028213C">
      <w:pPr>
        <w:jc w:val="both"/>
        <w:rPr>
          <w:sz w:val="24"/>
          <w:szCs w:val="24"/>
        </w:rPr>
      </w:pPr>
    </w:p>
    <w:p w14:paraId="63F58019" w14:textId="2F37DBAA" w:rsidR="00D25BD1" w:rsidRPr="00B9018F" w:rsidRDefault="00610C64" w:rsidP="0028213C">
      <w:pPr>
        <w:jc w:val="both"/>
        <w:rPr>
          <w:sz w:val="24"/>
          <w:szCs w:val="24"/>
        </w:rPr>
      </w:pPr>
      <w:r>
        <w:rPr>
          <w:sz w:val="24"/>
          <w:szCs w:val="24"/>
        </w:rPr>
        <w:t xml:space="preserve">By comparison, </w:t>
      </w:r>
      <w:r w:rsidR="00D25BD1" w:rsidRPr="00B9018F">
        <w:rPr>
          <w:sz w:val="24"/>
          <w:szCs w:val="24"/>
        </w:rPr>
        <w:t xml:space="preserve">EIL policies often contain numerous insuring agreements extending </w:t>
      </w:r>
      <w:r w:rsidR="00BA4AE1">
        <w:rPr>
          <w:sz w:val="24"/>
          <w:szCs w:val="24"/>
        </w:rPr>
        <w:t>various</w:t>
      </w:r>
      <w:r w:rsidR="00D25BD1" w:rsidRPr="00B9018F">
        <w:rPr>
          <w:sz w:val="24"/>
          <w:szCs w:val="24"/>
        </w:rPr>
        <w:t xml:space="preserve"> coverage</w:t>
      </w:r>
      <w:r w:rsidR="00BC661D" w:rsidRPr="00B9018F">
        <w:rPr>
          <w:sz w:val="24"/>
          <w:szCs w:val="24"/>
        </w:rPr>
        <w:t>s</w:t>
      </w:r>
      <w:r w:rsidR="00D25BD1" w:rsidRPr="00B9018F">
        <w:rPr>
          <w:sz w:val="24"/>
          <w:szCs w:val="24"/>
        </w:rPr>
        <w:t xml:space="preserve">, including the </w:t>
      </w:r>
      <w:r w:rsidR="001B50F0">
        <w:rPr>
          <w:sz w:val="24"/>
          <w:szCs w:val="24"/>
        </w:rPr>
        <w:t>following, which, in relevant part, states</w:t>
      </w:r>
      <w:r w:rsidR="006E11AA" w:rsidRPr="00B9018F">
        <w:rPr>
          <w:sz w:val="24"/>
          <w:szCs w:val="24"/>
        </w:rPr>
        <w:t xml:space="preserve">: </w:t>
      </w:r>
    </w:p>
    <w:p w14:paraId="49302692" w14:textId="77777777" w:rsidR="00BC661D" w:rsidRPr="00B9018F" w:rsidRDefault="00BC661D" w:rsidP="0028213C">
      <w:pPr>
        <w:jc w:val="both"/>
        <w:rPr>
          <w:sz w:val="24"/>
          <w:szCs w:val="24"/>
        </w:rPr>
      </w:pPr>
    </w:p>
    <w:p w14:paraId="61152381" w14:textId="36F08F33" w:rsidR="00BC661D" w:rsidRPr="00B9018F" w:rsidRDefault="00BC661D" w:rsidP="00BC661D">
      <w:pPr>
        <w:ind w:left="720" w:right="720"/>
        <w:jc w:val="both"/>
        <w:rPr>
          <w:b/>
          <w:sz w:val="24"/>
          <w:szCs w:val="24"/>
        </w:rPr>
      </w:pPr>
      <w:r w:rsidRPr="00B9018F">
        <w:rPr>
          <w:b/>
          <w:sz w:val="24"/>
          <w:szCs w:val="24"/>
        </w:rPr>
        <w:t>SECTION I – COVERAGES</w:t>
      </w:r>
    </w:p>
    <w:p w14:paraId="6F751D4F" w14:textId="77777777" w:rsidR="00BC661D" w:rsidRPr="00B9018F" w:rsidRDefault="00BC661D" w:rsidP="00BC661D">
      <w:pPr>
        <w:ind w:left="720" w:right="720"/>
        <w:jc w:val="both"/>
        <w:rPr>
          <w:sz w:val="24"/>
          <w:szCs w:val="24"/>
        </w:rPr>
      </w:pPr>
    </w:p>
    <w:p w14:paraId="3F924FE0" w14:textId="3C80073E" w:rsidR="00BC661D" w:rsidRPr="00B9018F" w:rsidRDefault="00BC661D" w:rsidP="00BC661D">
      <w:pPr>
        <w:ind w:left="1080" w:right="720" w:hanging="360"/>
        <w:jc w:val="both"/>
        <w:rPr>
          <w:b/>
          <w:sz w:val="24"/>
          <w:szCs w:val="24"/>
        </w:rPr>
      </w:pPr>
      <w:r w:rsidRPr="00B9018F">
        <w:rPr>
          <w:b/>
          <w:sz w:val="24"/>
          <w:szCs w:val="24"/>
        </w:rPr>
        <w:t xml:space="preserve">A. </w:t>
      </w:r>
      <w:r w:rsidRPr="00B9018F">
        <w:rPr>
          <w:b/>
          <w:sz w:val="24"/>
          <w:szCs w:val="24"/>
        </w:rPr>
        <w:tab/>
        <w:t>Insuring Agreements:</w:t>
      </w:r>
    </w:p>
    <w:p w14:paraId="6B0F1405" w14:textId="77777777" w:rsidR="00BC661D" w:rsidRPr="00B9018F" w:rsidRDefault="00BC661D" w:rsidP="00BC661D">
      <w:pPr>
        <w:ind w:left="720" w:right="720"/>
        <w:jc w:val="both"/>
        <w:rPr>
          <w:sz w:val="24"/>
          <w:szCs w:val="24"/>
        </w:rPr>
      </w:pPr>
    </w:p>
    <w:p w14:paraId="16A29FEE" w14:textId="3279067F" w:rsidR="00BC661D" w:rsidRPr="00B9018F" w:rsidRDefault="00BC661D" w:rsidP="00BC661D">
      <w:pPr>
        <w:tabs>
          <w:tab w:val="left" w:pos="1800"/>
          <w:tab w:val="left" w:pos="2520"/>
        </w:tabs>
        <w:ind w:left="1080" w:right="720"/>
        <w:jc w:val="both"/>
        <w:rPr>
          <w:sz w:val="24"/>
          <w:szCs w:val="24"/>
        </w:rPr>
      </w:pPr>
      <w:r w:rsidRPr="00B9018F">
        <w:rPr>
          <w:sz w:val="24"/>
          <w:szCs w:val="24"/>
        </w:rPr>
        <w:t>*</w:t>
      </w:r>
      <w:r w:rsidRPr="00B9018F">
        <w:rPr>
          <w:sz w:val="24"/>
          <w:szCs w:val="24"/>
        </w:rPr>
        <w:tab/>
        <w:t>*</w:t>
      </w:r>
      <w:r w:rsidRPr="00B9018F">
        <w:rPr>
          <w:sz w:val="24"/>
          <w:szCs w:val="24"/>
        </w:rPr>
        <w:tab/>
        <w:t>*</w:t>
      </w:r>
    </w:p>
    <w:p w14:paraId="21C1B06B" w14:textId="77777777" w:rsidR="00BC661D" w:rsidRPr="00B9018F" w:rsidRDefault="00BC661D" w:rsidP="00BC661D">
      <w:pPr>
        <w:ind w:left="720" w:right="720"/>
        <w:jc w:val="both"/>
        <w:rPr>
          <w:sz w:val="24"/>
          <w:szCs w:val="24"/>
        </w:rPr>
      </w:pPr>
    </w:p>
    <w:p w14:paraId="66D8E48D" w14:textId="07099FBD" w:rsidR="00BC661D" w:rsidRPr="00B9018F" w:rsidRDefault="00BC661D" w:rsidP="00BC661D">
      <w:pPr>
        <w:ind w:left="1440" w:right="720" w:hanging="360"/>
        <w:jc w:val="both"/>
        <w:rPr>
          <w:b/>
          <w:sz w:val="24"/>
          <w:szCs w:val="24"/>
        </w:rPr>
      </w:pPr>
      <w:r w:rsidRPr="00B9018F">
        <w:rPr>
          <w:b/>
          <w:sz w:val="24"/>
          <w:szCs w:val="24"/>
        </w:rPr>
        <w:t>1.</w:t>
      </w:r>
      <w:r w:rsidRPr="00B9018F">
        <w:rPr>
          <w:b/>
          <w:sz w:val="24"/>
          <w:szCs w:val="24"/>
        </w:rPr>
        <w:tab/>
        <w:t>Bodily Injury And Property Damage Resulting From Pollution Conditions</w:t>
      </w:r>
    </w:p>
    <w:p w14:paraId="4843207F" w14:textId="77777777" w:rsidR="00BC661D" w:rsidRPr="00B9018F" w:rsidRDefault="00BC661D" w:rsidP="00BC661D">
      <w:pPr>
        <w:ind w:left="720" w:right="720"/>
        <w:jc w:val="both"/>
        <w:rPr>
          <w:sz w:val="24"/>
          <w:szCs w:val="24"/>
        </w:rPr>
      </w:pPr>
    </w:p>
    <w:p w14:paraId="0D5E7EB7" w14:textId="1CC51874" w:rsidR="00003047" w:rsidRPr="00B9018F" w:rsidRDefault="00BC661D" w:rsidP="00003047">
      <w:pPr>
        <w:ind w:left="1440" w:right="720"/>
        <w:jc w:val="both"/>
        <w:rPr>
          <w:sz w:val="24"/>
          <w:szCs w:val="24"/>
        </w:rPr>
      </w:pPr>
      <w:r w:rsidRPr="00B9018F">
        <w:rPr>
          <w:sz w:val="24"/>
          <w:szCs w:val="24"/>
        </w:rPr>
        <w:t xml:space="preserve">We will pay those sums you become legally obligated to pay for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defense costs</w:t>
      </w:r>
      <w:r w:rsidR="009442FB" w:rsidRPr="00B9018F">
        <w:rPr>
          <w:sz w:val="24"/>
          <w:szCs w:val="24"/>
        </w:rPr>
        <w:t>”</w:t>
      </w:r>
      <w:r w:rsidRPr="00B9018F">
        <w:rPr>
          <w:sz w:val="24"/>
          <w:szCs w:val="24"/>
        </w:rPr>
        <w:t xml:space="preserve"> resulting from covered </w:t>
      </w:r>
      <w:r w:rsidR="009442FB" w:rsidRPr="00B9018F">
        <w:rPr>
          <w:sz w:val="24"/>
          <w:szCs w:val="24"/>
        </w:rPr>
        <w:t>“</w:t>
      </w:r>
      <w:r w:rsidRPr="00B9018F">
        <w:rPr>
          <w:sz w:val="24"/>
          <w:szCs w:val="24"/>
        </w:rPr>
        <w:t>pollution conditions</w:t>
      </w:r>
      <w:r w:rsidR="009442FB" w:rsidRPr="00B9018F">
        <w:rPr>
          <w:sz w:val="24"/>
          <w:szCs w:val="24"/>
        </w:rPr>
        <w:t>”</w:t>
      </w:r>
      <w:r w:rsidR="00003047" w:rsidRPr="00B9018F">
        <w:rPr>
          <w:rStyle w:val="FootnoteReference"/>
          <w:sz w:val="24"/>
          <w:szCs w:val="24"/>
        </w:rPr>
        <w:footnoteReference w:id="10"/>
      </w:r>
      <w:r w:rsidR="00F22511" w:rsidRPr="00B9018F">
        <w:rPr>
          <w:sz w:val="24"/>
          <w:szCs w:val="24"/>
        </w:rPr>
        <w:t xml:space="preserve"> first occurring during the policy period or subsequent to the retroactive date shown in the Declarations at, on, under or migrating from a </w:t>
      </w:r>
      <w:r w:rsidR="009442FB" w:rsidRPr="00B9018F">
        <w:rPr>
          <w:sz w:val="24"/>
          <w:szCs w:val="24"/>
        </w:rPr>
        <w:t>“</w:t>
      </w:r>
      <w:r w:rsidR="00F22511" w:rsidRPr="00B9018F">
        <w:rPr>
          <w:sz w:val="24"/>
          <w:szCs w:val="24"/>
        </w:rPr>
        <w:t>covered location</w:t>
      </w:r>
      <w:r w:rsidR="009442FB" w:rsidRPr="00B9018F">
        <w:rPr>
          <w:sz w:val="24"/>
          <w:szCs w:val="24"/>
        </w:rPr>
        <w:t>”</w:t>
      </w:r>
      <w:r w:rsidR="00F22511" w:rsidRPr="00B9018F">
        <w:rPr>
          <w:sz w:val="24"/>
          <w:szCs w:val="24"/>
        </w:rPr>
        <w:t xml:space="preserve">. </w:t>
      </w:r>
      <w:r w:rsidR="009442FB" w:rsidRPr="00B9018F">
        <w:rPr>
          <w:sz w:val="24"/>
          <w:szCs w:val="24"/>
        </w:rPr>
        <w:t>“</w:t>
      </w:r>
      <w:r w:rsidR="00F22511" w:rsidRPr="00B9018F">
        <w:rPr>
          <w:sz w:val="24"/>
          <w:szCs w:val="24"/>
        </w:rPr>
        <w:t>Claims</w:t>
      </w:r>
      <w:r w:rsidR="009442FB" w:rsidRPr="00B9018F">
        <w:rPr>
          <w:sz w:val="24"/>
          <w:szCs w:val="24"/>
        </w:rPr>
        <w:t>”</w:t>
      </w:r>
      <w:r w:rsidR="00F22511" w:rsidRPr="00B9018F">
        <w:rPr>
          <w:sz w:val="24"/>
          <w:szCs w:val="24"/>
        </w:rPr>
        <w:t xml:space="preserve"> for </w:t>
      </w:r>
      <w:r w:rsidR="009442FB" w:rsidRPr="00B9018F">
        <w:rPr>
          <w:sz w:val="24"/>
          <w:szCs w:val="24"/>
        </w:rPr>
        <w:t>“</w:t>
      </w:r>
      <w:r w:rsidR="00F22511" w:rsidRPr="00B9018F">
        <w:rPr>
          <w:sz w:val="24"/>
          <w:szCs w:val="24"/>
        </w:rPr>
        <w:t>bodily injury</w:t>
      </w:r>
      <w:r w:rsidR="009442FB" w:rsidRPr="00B9018F">
        <w:rPr>
          <w:sz w:val="24"/>
          <w:szCs w:val="24"/>
        </w:rPr>
        <w:t>”</w:t>
      </w:r>
      <w:r w:rsidR="00F22511" w:rsidRPr="00B9018F">
        <w:rPr>
          <w:sz w:val="24"/>
          <w:szCs w:val="24"/>
        </w:rPr>
        <w:t xml:space="preserve">, </w:t>
      </w:r>
      <w:r w:rsidR="009442FB" w:rsidRPr="00B9018F">
        <w:rPr>
          <w:sz w:val="24"/>
          <w:szCs w:val="24"/>
        </w:rPr>
        <w:t>“</w:t>
      </w:r>
      <w:r w:rsidR="00F22511" w:rsidRPr="00B9018F">
        <w:rPr>
          <w:sz w:val="24"/>
          <w:szCs w:val="24"/>
        </w:rPr>
        <w:t>property damage</w:t>
      </w:r>
      <w:r w:rsidR="009442FB" w:rsidRPr="00B9018F">
        <w:rPr>
          <w:sz w:val="24"/>
          <w:szCs w:val="24"/>
        </w:rPr>
        <w:t>”</w:t>
      </w:r>
      <w:r w:rsidR="00F22511" w:rsidRPr="00B9018F">
        <w:rPr>
          <w:sz w:val="24"/>
          <w:szCs w:val="24"/>
        </w:rPr>
        <w:t xml:space="preserve"> or </w:t>
      </w:r>
      <w:r w:rsidR="009442FB" w:rsidRPr="00B9018F">
        <w:rPr>
          <w:sz w:val="24"/>
          <w:szCs w:val="24"/>
        </w:rPr>
        <w:t>“</w:t>
      </w:r>
      <w:r w:rsidR="00F22511" w:rsidRPr="00B9018F">
        <w:rPr>
          <w:sz w:val="24"/>
          <w:szCs w:val="24"/>
        </w:rPr>
        <w:t>defense costs</w:t>
      </w:r>
      <w:r w:rsidR="009442FB" w:rsidRPr="00B9018F">
        <w:rPr>
          <w:sz w:val="24"/>
          <w:szCs w:val="24"/>
        </w:rPr>
        <w:t>”</w:t>
      </w:r>
      <w:r w:rsidR="00F22511" w:rsidRPr="00B9018F">
        <w:rPr>
          <w:sz w:val="24"/>
          <w:szCs w:val="24"/>
        </w:rPr>
        <w:t xml:space="preserve"> must be first made against you and reported to us in writing during the policy period or any applicable extended reporting period, provided that the </w:t>
      </w:r>
      <w:r w:rsidR="009442FB" w:rsidRPr="00B9018F">
        <w:rPr>
          <w:sz w:val="24"/>
          <w:szCs w:val="24"/>
        </w:rPr>
        <w:t>“</w:t>
      </w:r>
      <w:r w:rsidR="00F22511" w:rsidRPr="00B9018F">
        <w:rPr>
          <w:sz w:val="24"/>
          <w:szCs w:val="24"/>
        </w:rPr>
        <w:t>claim</w:t>
      </w:r>
      <w:r w:rsidR="009442FB" w:rsidRPr="00B9018F">
        <w:rPr>
          <w:sz w:val="24"/>
          <w:szCs w:val="24"/>
        </w:rPr>
        <w:t>”</w:t>
      </w:r>
      <w:r w:rsidR="00F22511" w:rsidRPr="00B9018F">
        <w:rPr>
          <w:sz w:val="24"/>
          <w:szCs w:val="24"/>
        </w:rPr>
        <w:t xml:space="preserve"> is covered by this Coverage Form and arises from </w:t>
      </w:r>
      <w:r w:rsidR="009442FB" w:rsidRPr="00B9018F">
        <w:rPr>
          <w:sz w:val="24"/>
          <w:szCs w:val="24"/>
        </w:rPr>
        <w:t>“</w:t>
      </w:r>
      <w:r w:rsidR="00F22511" w:rsidRPr="00B9018F">
        <w:rPr>
          <w:sz w:val="24"/>
          <w:szCs w:val="24"/>
        </w:rPr>
        <w:t>pollution conditions</w:t>
      </w:r>
      <w:r w:rsidR="009442FB" w:rsidRPr="00B9018F">
        <w:rPr>
          <w:sz w:val="24"/>
          <w:szCs w:val="24"/>
        </w:rPr>
        <w:t>”</w:t>
      </w:r>
      <w:r w:rsidR="00F22511" w:rsidRPr="00B9018F">
        <w:rPr>
          <w:sz w:val="24"/>
          <w:szCs w:val="24"/>
        </w:rPr>
        <w:t xml:space="preserve"> that commenced before the end of the policy period. </w:t>
      </w:r>
    </w:p>
    <w:p w14:paraId="7D2FE4C1" w14:textId="77777777" w:rsidR="00003047" w:rsidRPr="00B9018F" w:rsidRDefault="00003047" w:rsidP="0028213C">
      <w:pPr>
        <w:jc w:val="both"/>
        <w:rPr>
          <w:sz w:val="24"/>
          <w:szCs w:val="24"/>
        </w:rPr>
      </w:pPr>
    </w:p>
    <w:p w14:paraId="5A029E17" w14:textId="7A502199" w:rsidR="0028213C" w:rsidRPr="00B9018F" w:rsidRDefault="00327DE4" w:rsidP="0028213C">
      <w:pPr>
        <w:jc w:val="both"/>
        <w:rPr>
          <w:sz w:val="24"/>
          <w:szCs w:val="24"/>
        </w:rPr>
      </w:pPr>
      <w:r w:rsidRPr="00B9018F">
        <w:rPr>
          <w:sz w:val="24"/>
          <w:szCs w:val="24"/>
        </w:rPr>
        <w:tab/>
      </w:r>
      <w:r w:rsidR="00C16B3F" w:rsidRPr="00B9018F">
        <w:rPr>
          <w:sz w:val="24"/>
          <w:szCs w:val="24"/>
        </w:rPr>
        <w:t>Essentially, a liability insurer</w:t>
      </w:r>
      <w:r w:rsidR="00165D66" w:rsidRPr="00B9018F">
        <w:rPr>
          <w:sz w:val="24"/>
          <w:szCs w:val="24"/>
        </w:rPr>
        <w:t xml:space="preserve"> has no obligation to indemnify an insured </w:t>
      </w:r>
      <w:r w:rsidR="00BC661D" w:rsidRPr="00B9018F">
        <w:rPr>
          <w:sz w:val="24"/>
          <w:szCs w:val="24"/>
        </w:rPr>
        <w:t xml:space="preserve">unless a claimant is able to prove that </w:t>
      </w:r>
      <w:r w:rsidR="00165D66" w:rsidRPr="00B9018F">
        <w:rPr>
          <w:sz w:val="24"/>
          <w:szCs w:val="24"/>
        </w:rPr>
        <w:t xml:space="preserve">the </w:t>
      </w:r>
      <w:r w:rsidR="00BC661D" w:rsidRPr="00B9018F">
        <w:rPr>
          <w:sz w:val="24"/>
          <w:szCs w:val="24"/>
        </w:rPr>
        <w:t xml:space="preserve">insured is legally obligated to pay </w:t>
      </w:r>
      <w:r w:rsidR="00165D66" w:rsidRPr="00B9018F">
        <w:rPr>
          <w:sz w:val="24"/>
          <w:szCs w:val="24"/>
        </w:rPr>
        <w:t>for the claimant</w:t>
      </w:r>
      <w:r w:rsidR="009442FB" w:rsidRPr="00B9018F">
        <w:rPr>
          <w:sz w:val="24"/>
          <w:szCs w:val="24"/>
        </w:rPr>
        <w:t>’</w:t>
      </w:r>
      <w:r w:rsidR="00165D66" w:rsidRPr="00B9018F">
        <w:rPr>
          <w:sz w:val="24"/>
          <w:szCs w:val="24"/>
        </w:rPr>
        <w:t xml:space="preserve">s damages. </w:t>
      </w:r>
      <w:r w:rsidR="00EA592E" w:rsidRPr="00B9018F">
        <w:rPr>
          <w:sz w:val="24"/>
          <w:szCs w:val="24"/>
        </w:rPr>
        <w:t xml:space="preserve">In grappling with climate change </w:t>
      </w:r>
      <w:r w:rsidR="00AF3833" w:rsidRPr="00B9018F">
        <w:rPr>
          <w:sz w:val="24"/>
          <w:szCs w:val="24"/>
        </w:rPr>
        <w:t>cases</w:t>
      </w:r>
      <w:r w:rsidR="00EA592E" w:rsidRPr="00B9018F">
        <w:rPr>
          <w:sz w:val="24"/>
          <w:szCs w:val="24"/>
        </w:rPr>
        <w:t>, courts have consistently identified two threshold barriers to the claimant</w:t>
      </w:r>
      <w:r w:rsidR="009442FB" w:rsidRPr="00B9018F">
        <w:rPr>
          <w:sz w:val="24"/>
          <w:szCs w:val="24"/>
        </w:rPr>
        <w:t>’</w:t>
      </w:r>
      <w:r w:rsidR="00EA592E" w:rsidRPr="00B9018F">
        <w:rPr>
          <w:sz w:val="24"/>
          <w:szCs w:val="24"/>
        </w:rPr>
        <w:t xml:space="preserve">s ability to </w:t>
      </w:r>
      <w:r w:rsidR="00AF3833" w:rsidRPr="00B9018F">
        <w:rPr>
          <w:sz w:val="24"/>
          <w:szCs w:val="24"/>
        </w:rPr>
        <w:t>prove</w:t>
      </w:r>
      <w:r w:rsidR="00EA592E" w:rsidRPr="00B9018F">
        <w:rPr>
          <w:sz w:val="24"/>
          <w:szCs w:val="24"/>
        </w:rPr>
        <w:t xml:space="preserve"> its claim: standing and causation.</w:t>
      </w:r>
    </w:p>
    <w:p w14:paraId="20999EB8" w14:textId="77777777" w:rsidR="0028213C" w:rsidRPr="00B9018F" w:rsidRDefault="0028213C" w:rsidP="00CB08B9">
      <w:pPr>
        <w:ind w:left="720"/>
        <w:jc w:val="both"/>
        <w:rPr>
          <w:sz w:val="24"/>
          <w:szCs w:val="24"/>
        </w:rPr>
      </w:pPr>
    </w:p>
    <w:p w14:paraId="51753DF4" w14:textId="3E6EA918" w:rsidR="00904955" w:rsidRPr="00B9018F" w:rsidRDefault="0028213C" w:rsidP="0028213C">
      <w:pPr>
        <w:rPr>
          <w:b/>
          <w:sz w:val="24"/>
          <w:szCs w:val="24"/>
        </w:rPr>
      </w:pPr>
      <w:r w:rsidRPr="00B9018F">
        <w:rPr>
          <w:sz w:val="24"/>
          <w:szCs w:val="24"/>
        </w:rPr>
        <w:tab/>
      </w:r>
      <w:r w:rsidR="00904955" w:rsidRPr="00B9018F">
        <w:rPr>
          <w:b/>
          <w:sz w:val="24"/>
          <w:szCs w:val="24"/>
        </w:rPr>
        <w:t>(a)</w:t>
      </w:r>
      <w:r w:rsidR="00904955" w:rsidRPr="00B9018F">
        <w:rPr>
          <w:b/>
          <w:sz w:val="24"/>
          <w:szCs w:val="24"/>
        </w:rPr>
        <w:tab/>
        <w:t>Standing</w:t>
      </w:r>
    </w:p>
    <w:p w14:paraId="5A62CAA5" w14:textId="77777777" w:rsidR="00904955" w:rsidRPr="00B9018F" w:rsidRDefault="00904955" w:rsidP="0028213C">
      <w:pPr>
        <w:rPr>
          <w:sz w:val="24"/>
          <w:szCs w:val="24"/>
        </w:rPr>
      </w:pPr>
    </w:p>
    <w:p w14:paraId="2243329E" w14:textId="523DB6CA" w:rsidR="00B87FAC" w:rsidRPr="00B9018F" w:rsidRDefault="00EA592E" w:rsidP="009C077E">
      <w:pPr>
        <w:jc w:val="both"/>
        <w:rPr>
          <w:sz w:val="24"/>
          <w:szCs w:val="24"/>
        </w:rPr>
      </w:pPr>
      <w:r w:rsidRPr="00B9018F">
        <w:rPr>
          <w:sz w:val="24"/>
          <w:szCs w:val="24"/>
        </w:rPr>
        <w:tab/>
        <w:t>A claimant cannot prove that an insured is liable for its damages if the claimant does not have actually standing to bring the suit.</w:t>
      </w:r>
      <w:r w:rsidR="00AF22A4" w:rsidRPr="00B9018F">
        <w:rPr>
          <w:rStyle w:val="FootnoteReference"/>
          <w:sz w:val="24"/>
          <w:szCs w:val="24"/>
        </w:rPr>
        <w:footnoteReference w:id="11"/>
      </w:r>
      <w:r w:rsidR="00264B2D" w:rsidRPr="00B9018F">
        <w:rPr>
          <w:sz w:val="24"/>
          <w:szCs w:val="24"/>
        </w:rPr>
        <w:t xml:space="preserve"> Historically, </w:t>
      </w:r>
      <w:r w:rsidR="00DD2ED3" w:rsidRPr="00B9018F">
        <w:rPr>
          <w:sz w:val="24"/>
          <w:szCs w:val="24"/>
        </w:rPr>
        <w:t>P</w:t>
      </w:r>
      <w:r w:rsidR="00264B2D" w:rsidRPr="00B9018F">
        <w:rPr>
          <w:sz w:val="24"/>
          <w:szCs w:val="24"/>
        </w:rPr>
        <w:t xml:space="preserve">laintiffs seeking </w:t>
      </w:r>
      <w:r w:rsidR="00AF22A4" w:rsidRPr="00B9018F">
        <w:rPr>
          <w:sz w:val="24"/>
          <w:szCs w:val="24"/>
        </w:rPr>
        <w:t xml:space="preserve">new regulations requiring commercial polluters to curb greenhouse gas emissions </w:t>
      </w:r>
      <w:r w:rsidR="00264B2D" w:rsidRPr="00B9018F">
        <w:rPr>
          <w:sz w:val="24"/>
          <w:szCs w:val="24"/>
        </w:rPr>
        <w:t xml:space="preserve">have </w:t>
      </w:r>
      <w:r w:rsidR="00AF22A4" w:rsidRPr="00B9018F">
        <w:rPr>
          <w:sz w:val="24"/>
          <w:szCs w:val="24"/>
        </w:rPr>
        <w:t xml:space="preserve">been </w:t>
      </w:r>
      <w:r w:rsidR="00AF3833" w:rsidRPr="00B9018F">
        <w:rPr>
          <w:sz w:val="24"/>
          <w:szCs w:val="24"/>
        </w:rPr>
        <w:t>un</w:t>
      </w:r>
      <w:r w:rsidR="00AF22A4" w:rsidRPr="00B9018F">
        <w:rPr>
          <w:sz w:val="24"/>
          <w:szCs w:val="24"/>
        </w:rPr>
        <w:t xml:space="preserve">able to </w:t>
      </w:r>
      <w:r w:rsidR="00264B2D" w:rsidRPr="00B9018F">
        <w:rPr>
          <w:sz w:val="24"/>
          <w:szCs w:val="24"/>
        </w:rPr>
        <w:t xml:space="preserve">sustain claims against federal regulatory </w:t>
      </w:r>
      <w:r w:rsidR="00AF22A4" w:rsidRPr="00B9018F">
        <w:rPr>
          <w:sz w:val="24"/>
          <w:szCs w:val="24"/>
        </w:rPr>
        <w:t>agencies</w:t>
      </w:r>
      <w:r w:rsidR="00264B2D" w:rsidRPr="00B9018F">
        <w:rPr>
          <w:sz w:val="24"/>
          <w:szCs w:val="24"/>
        </w:rPr>
        <w:t xml:space="preserve">, </w:t>
      </w:r>
      <w:r w:rsidR="00AF22A4" w:rsidRPr="00B9018F">
        <w:rPr>
          <w:sz w:val="24"/>
          <w:szCs w:val="24"/>
        </w:rPr>
        <w:t xml:space="preserve">especially </w:t>
      </w:r>
      <w:r w:rsidR="00264B2D" w:rsidRPr="00B9018F">
        <w:rPr>
          <w:sz w:val="24"/>
          <w:szCs w:val="24"/>
        </w:rPr>
        <w:t>in establishing the minimum standard of justiciability.</w:t>
      </w:r>
      <w:r w:rsidR="00264B2D" w:rsidRPr="00B9018F">
        <w:rPr>
          <w:rStyle w:val="FootnoteReference"/>
          <w:sz w:val="24"/>
          <w:szCs w:val="24"/>
        </w:rPr>
        <w:footnoteReference w:id="12"/>
      </w:r>
      <w:r w:rsidR="0009281F" w:rsidRPr="00B9018F">
        <w:rPr>
          <w:sz w:val="24"/>
          <w:szCs w:val="24"/>
        </w:rPr>
        <w:t xml:space="preserve"> </w:t>
      </w:r>
      <w:r w:rsidR="00953ABA" w:rsidRPr="00B9018F">
        <w:rPr>
          <w:sz w:val="24"/>
          <w:szCs w:val="24"/>
        </w:rPr>
        <w:t xml:space="preserve">The Supreme Court first addressed the issue of standing in </w:t>
      </w:r>
      <w:r w:rsidR="00953ABA" w:rsidRPr="00B9018F">
        <w:rPr>
          <w:i/>
          <w:sz w:val="24"/>
          <w:szCs w:val="24"/>
        </w:rPr>
        <w:t>Massachusetts v. E.P.A.</w:t>
      </w:r>
      <w:r w:rsidR="00953ABA" w:rsidRPr="00B9018F">
        <w:rPr>
          <w:sz w:val="24"/>
          <w:szCs w:val="24"/>
        </w:rPr>
        <w:t xml:space="preserve"> </w:t>
      </w:r>
      <w:r w:rsidR="00177D1B" w:rsidRPr="00B9018F">
        <w:rPr>
          <w:sz w:val="24"/>
          <w:szCs w:val="24"/>
        </w:rPr>
        <w:t xml:space="preserve">in which it held </w:t>
      </w:r>
      <w:r w:rsidR="00BA4AE1">
        <w:rPr>
          <w:sz w:val="24"/>
          <w:szCs w:val="24"/>
        </w:rPr>
        <w:t xml:space="preserve">that </w:t>
      </w:r>
      <w:r w:rsidR="00177D1B" w:rsidRPr="00B9018F">
        <w:rPr>
          <w:sz w:val="24"/>
          <w:szCs w:val="24"/>
        </w:rPr>
        <w:t xml:space="preserve">petitioners had standing to </w:t>
      </w:r>
      <w:r w:rsidR="008815B8" w:rsidRPr="00B9018F">
        <w:rPr>
          <w:sz w:val="24"/>
          <w:szCs w:val="24"/>
        </w:rPr>
        <w:t>challenge an EPA order denying a rulemaking petition regarding the regulation of greenhouse gases.</w:t>
      </w:r>
      <w:r w:rsidR="00A179F8" w:rsidRPr="00B9018F">
        <w:rPr>
          <w:rStyle w:val="FootnoteReference"/>
          <w:sz w:val="24"/>
          <w:szCs w:val="24"/>
        </w:rPr>
        <w:footnoteReference w:id="13"/>
      </w:r>
      <w:r w:rsidR="008815B8" w:rsidRPr="00B9018F">
        <w:rPr>
          <w:sz w:val="24"/>
          <w:szCs w:val="24"/>
        </w:rPr>
        <w:t xml:space="preserve"> However, the Supreme Court</w:t>
      </w:r>
      <w:r w:rsidR="009442FB" w:rsidRPr="00B9018F">
        <w:rPr>
          <w:sz w:val="24"/>
          <w:szCs w:val="24"/>
        </w:rPr>
        <w:t>’</w:t>
      </w:r>
      <w:r w:rsidR="003647DD" w:rsidRPr="00B9018F">
        <w:rPr>
          <w:sz w:val="24"/>
          <w:szCs w:val="24"/>
        </w:rPr>
        <w:t>s decision on standing depended</w:t>
      </w:r>
      <w:r w:rsidR="008815B8" w:rsidRPr="00B9018F">
        <w:rPr>
          <w:sz w:val="24"/>
          <w:szCs w:val="24"/>
        </w:rPr>
        <w:t xml:space="preserve"> on the </w:t>
      </w:r>
      <w:r w:rsidR="009442FB" w:rsidRPr="00B9018F">
        <w:rPr>
          <w:sz w:val="24"/>
          <w:szCs w:val="24"/>
        </w:rPr>
        <w:t>“</w:t>
      </w:r>
      <w:r w:rsidR="008815B8" w:rsidRPr="00B9018F">
        <w:rPr>
          <w:sz w:val="24"/>
          <w:szCs w:val="24"/>
        </w:rPr>
        <w:t>special solicitude</w:t>
      </w:r>
      <w:r w:rsidR="009442FB" w:rsidRPr="00B9018F">
        <w:rPr>
          <w:sz w:val="24"/>
          <w:szCs w:val="24"/>
        </w:rPr>
        <w:t>”</w:t>
      </w:r>
      <w:r w:rsidR="008815B8" w:rsidRPr="00B9018F">
        <w:rPr>
          <w:sz w:val="24"/>
          <w:szCs w:val="24"/>
        </w:rPr>
        <w:t xml:space="preserve"> of </w:t>
      </w:r>
      <w:r w:rsidR="00306D8B" w:rsidRPr="00B9018F">
        <w:rPr>
          <w:sz w:val="24"/>
          <w:szCs w:val="24"/>
        </w:rPr>
        <w:t xml:space="preserve">a single </w:t>
      </w:r>
      <w:r w:rsidR="008815B8" w:rsidRPr="00B9018F">
        <w:rPr>
          <w:sz w:val="24"/>
          <w:szCs w:val="24"/>
        </w:rPr>
        <w:t xml:space="preserve">petitioner, the Commonwealth of Massachusetts, to protect its quasi-sovereign interests, leaving the question of standing as it relates to private </w:t>
      </w:r>
      <w:r w:rsidR="00EE4A6A" w:rsidRPr="00B9018F">
        <w:rPr>
          <w:sz w:val="24"/>
          <w:szCs w:val="24"/>
        </w:rPr>
        <w:t xml:space="preserve">claims </w:t>
      </w:r>
      <w:r w:rsidR="008815B8" w:rsidRPr="00B9018F">
        <w:rPr>
          <w:sz w:val="24"/>
          <w:szCs w:val="24"/>
        </w:rPr>
        <w:t>largely unanswered.</w:t>
      </w:r>
      <w:r w:rsidR="008815B8" w:rsidRPr="00B9018F">
        <w:rPr>
          <w:rStyle w:val="FootnoteReference"/>
          <w:sz w:val="24"/>
          <w:szCs w:val="24"/>
        </w:rPr>
        <w:footnoteReference w:id="14"/>
      </w:r>
      <w:r w:rsidR="008815B8" w:rsidRPr="00B9018F">
        <w:rPr>
          <w:sz w:val="24"/>
          <w:szCs w:val="24"/>
        </w:rPr>
        <w:t xml:space="preserve"> </w:t>
      </w:r>
    </w:p>
    <w:p w14:paraId="303FEECE" w14:textId="77777777" w:rsidR="00B87FAC" w:rsidRPr="00B9018F" w:rsidRDefault="00B87FAC" w:rsidP="00953ABA">
      <w:pPr>
        <w:jc w:val="both"/>
        <w:rPr>
          <w:sz w:val="24"/>
          <w:szCs w:val="24"/>
        </w:rPr>
      </w:pPr>
    </w:p>
    <w:p w14:paraId="78CEE80C" w14:textId="56E6CFA7" w:rsidR="0092072C" w:rsidRPr="00B9018F" w:rsidRDefault="00B87FAC" w:rsidP="00B43654">
      <w:pPr>
        <w:jc w:val="both"/>
        <w:rPr>
          <w:sz w:val="24"/>
          <w:szCs w:val="24"/>
        </w:rPr>
      </w:pPr>
      <w:r w:rsidRPr="00B9018F">
        <w:rPr>
          <w:sz w:val="24"/>
          <w:szCs w:val="24"/>
        </w:rPr>
        <w:tab/>
      </w:r>
      <w:r w:rsidR="00822937" w:rsidRPr="00B9018F">
        <w:rPr>
          <w:sz w:val="24"/>
          <w:szCs w:val="24"/>
        </w:rPr>
        <w:t xml:space="preserve">In 2009, the United States Court of Appeals for the Second Circuit endeavored to apply the </w:t>
      </w:r>
      <w:r w:rsidR="00C51373" w:rsidRPr="00B9018F">
        <w:rPr>
          <w:i/>
          <w:sz w:val="24"/>
          <w:szCs w:val="24"/>
        </w:rPr>
        <w:t xml:space="preserve">Massachusetts </w:t>
      </w:r>
      <w:r w:rsidR="00822937" w:rsidRPr="00B9018F">
        <w:rPr>
          <w:sz w:val="24"/>
          <w:szCs w:val="24"/>
        </w:rPr>
        <w:t xml:space="preserve">ruling </w:t>
      </w:r>
      <w:r w:rsidR="00C51373" w:rsidRPr="00B9018F">
        <w:rPr>
          <w:sz w:val="24"/>
          <w:szCs w:val="24"/>
        </w:rPr>
        <w:t xml:space="preserve">in </w:t>
      </w:r>
      <w:r w:rsidR="00822937" w:rsidRPr="00B9018F">
        <w:rPr>
          <w:sz w:val="24"/>
          <w:szCs w:val="24"/>
        </w:rPr>
        <w:t xml:space="preserve">the context of claims against private companies. </w:t>
      </w:r>
      <w:r w:rsidR="00B43654" w:rsidRPr="00B9018F">
        <w:rPr>
          <w:sz w:val="24"/>
          <w:szCs w:val="24"/>
        </w:rPr>
        <w:t xml:space="preserve">In </w:t>
      </w:r>
      <w:r w:rsidR="00B43654" w:rsidRPr="00B9018F">
        <w:rPr>
          <w:i/>
          <w:sz w:val="24"/>
          <w:szCs w:val="24"/>
        </w:rPr>
        <w:t>Connecticut v. Am. Elec. Power Co.</w:t>
      </w:r>
      <w:r w:rsidR="00B43654" w:rsidRPr="00B9018F">
        <w:rPr>
          <w:sz w:val="24"/>
          <w:szCs w:val="24"/>
        </w:rPr>
        <w:t>,</w:t>
      </w:r>
      <w:r w:rsidR="00BC18F8" w:rsidRPr="00B9018F">
        <w:rPr>
          <w:sz w:val="24"/>
          <w:szCs w:val="24"/>
        </w:rPr>
        <w:t xml:space="preserve"> eight states, a city, and three land trusts sued six electric power companies that operated fossil-fuel-fired power plants in twenty states, seeking abatement of defendants</w:t>
      </w:r>
      <w:r w:rsidR="009442FB" w:rsidRPr="00B9018F">
        <w:rPr>
          <w:sz w:val="24"/>
          <w:szCs w:val="24"/>
        </w:rPr>
        <w:t>’</w:t>
      </w:r>
      <w:r w:rsidR="00BC18F8" w:rsidRPr="00B9018F">
        <w:rPr>
          <w:sz w:val="24"/>
          <w:szCs w:val="24"/>
        </w:rPr>
        <w:t xml:space="preserve"> ongoing contribution to the public nuisance of global warming.</w:t>
      </w:r>
      <w:r w:rsidR="00877F88" w:rsidRPr="00B9018F">
        <w:rPr>
          <w:rStyle w:val="FootnoteReference"/>
          <w:sz w:val="24"/>
          <w:szCs w:val="24"/>
        </w:rPr>
        <w:footnoteReference w:id="15"/>
      </w:r>
      <w:r w:rsidR="00BC18F8" w:rsidRPr="00B9018F">
        <w:rPr>
          <w:sz w:val="24"/>
          <w:szCs w:val="24"/>
        </w:rPr>
        <w:t xml:space="preserve"> Defenda</w:t>
      </w:r>
      <w:r w:rsidR="00256C58" w:rsidRPr="00B9018F">
        <w:rPr>
          <w:sz w:val="24"/>
          <w:szCs w:val="24"/>
        </w:rPr>
        <w:t>nts moved to dismiss plaintiffs</w:t>
      </w:r>
      <w:r w:rsidR="009442FB" w:rsidRPr="00B9018F">
        <w:rPr>
          <w:sz w:val="24"/>
          <w:szCs w:val="24"/>
        </w:rPr>
        <w:t>’</w:t>
      </w:r>
      <w:r w:rsidR="00256C58" w:rsidRPr="00B9018F">
        <w:rPr>
          <w:sz w:val="24"/>
          <w:szCs w:val="24"/>
        </w:rPr>
        <w:t xml:space="preserve"> claims on grounds that they did not </w:t>
      </w:r>
      <w:r w:rsidR="009442FB" w:rsidRPr="00B9018F">
        <w:rPr>
          <w:sz w:val="24"/>
          <w:szCs w:val="24"/>
        </w:rPr>
        <w:t>“</w:t>
      </w:r>
      <w:r w:rsidR="00256C58" w:rsidRPr="00B9018F">
        <w:rPr>
          <w:sz w:val="24"/>
          <w:szCs w:val="24"/>
        </w:rPr>
        <w:t>have standing to sue on account of global warming.</w:t>
      </w:r>
      <w:r w:rsidR="009442FB" w:rsidRPr="00B9018F">
        <w:rPr>
          <w:sz w:val="24"/>
          <w:szCs w:val="24"/>
        </w:rPr>
        <w:t>”</w:t>
      </w:r>
      <w:r w:rsidR="00256C58" w:rsidRPr="00B9018F">
        <w:rPr>
          <w:rStyle w:val="FootnoteReference"/>
          <w:sz w:val="24"/>
          <w:szCs w:val="24"/>
        </w:rPr>
        <w:footnoteReference w:id="16"/>
      </w:r>
      <w:r w:rsidR="00256C58" w:rsidRPr="00B9018F">
        <w:rPr>
          <w:sz w:val="24"/>
          <w:szCs w:val="24"/>
        </w:rPr>
        <w:t xml:space="preserve"> </w:t>
      </w:r>
      <w:r w:rsidR="00FE6CE4" w:rsidRPr="00B9018F">
        <w:rPr>
          <w:sz w:val="24"/>
          <w:szCs w:val="24"/>
        </w:rPr>
        <w:t xml:space="preserve">The </w:t>
      </w:r>
      <w:r w:rsidR="00FE6CE4" w:rsidRPr="00B9018F">
        <w:rPr>
          <w:i/>
          <w:sz w:val="24"/>
          <w:szCs w:val="24"/>
        </w:rPr>
        <w:t xml:space="preserve">Connecticut </w:t>
      </w:r>
      <w:r w:rsidR="00FE6CE4" w:rsidRPr="00B9018F">
        <w:rPr>
          <w:sz w:val="24"/>
          <w:szCs w:val="24"/>
        </w:rPr>
        <w:t>court evaluated plaintiffs</w:t>
      </w:r>
      <w:r w:rsidR="009442FB" w:rsidRPr="00B9018F">
        <w:rPr>
          <w:sz w:val="24"/>
          <w:szCs w:val="24"/>
        </w:rPr>
        <w:t>’</w:t>
      </w:r>
      <w:r w:rsidR="00FE6CE4" w:rsidRPr="00B9018F">
        <w:rPr>
          <w:sz w:val="24"/>
          <w:szCs w:val="24"/>
        </w:rPr>
        <w:t xml:space="preserve"> standing both under the doctrine of </w:t>
      </w:r>
      <w:r w:rsidR="00FE6CE4" w:rsidRPr="00B9018F">
        <w:rPr>
          <w:i/>
          <w:sz w:val="24"/>
          <w:szCs w:val="24"/>
        </w:rPr>
        <w:t>parens patriae</w:t>
      </w:r>
      <w:r w:rsidR="002A72DE" w:rsidRPr="00B9018F">
        <w:rPr>
          <w:sz w:val="24"/>
          <w:szCs w:val="24"/>
        </w:rPr>
        <w:t>, which controlled the Supreme Court</w:t>
      </w:r>
      <w:r w:rsidR="009442FB" w:rsidRPr="00B9018F">
        <w:rPr>
          <w:sz w:val="24"/>
          <w:szCs w:val="24"/>
        </w:rPr>
        <w:t>’</w:t>
      </w:r>
      <w:r w:rsidR="002A72DE" w:rsidRPr="00B9018F">
        <w:rPr>
          <w:sz w:val="24"/>
          <w:szCs w:val="24"/>
        </w:rPr>
        <w:t xml:space="preserve">s decision in </w:t>
      </w:r>
      <w:r w:rsidR="002A72DE" w:rsidRPr="00B9018F">
        <w:rPr>
          <w:i/>
          <w:sz w:val="24"/>
          <w:szCs w:val="24"/>
        </w:rPr>
        <w:t>Massachusetts</w:t>
      </w:r>
      <w:r w:rsidR="001B50F0">
        <w:rPr>
          <w:i/>
          <w:sz w:val="24"/>
          <w:szCs w:val="24"/>
        </w:rPr>
        <w:t xml:space="preserve"> v. E.P.A.</w:t>
      </w:r>
      <w:r w:rsidR="001B50F0">
        <w:rPr>
          <w:sz w:val="24"/>
          <w:szCs w:val="24"/>
        </w:rPr>
        <w:t>,</w:t>
      </w:r>
      <w:r w:rsidR="002A72DE" w:rsidRPr="00B9018F">
        <w:rPr>
          <w:sz w:val="24"/>
          <w:szCs w:val="24"/>
        </w:rPr>
        <w:t xml:space="preserve"> and more broadly under Article III</w:t>
      </w:r>
      <w:r w:rsidR="009442FB" w:rsidRPr="00B9018F">
        <w:rPr>
          <w:sz w:val="24"/>
          <w:szCs w:val="24"/>
        </w:rPr>
        <w:t>’</w:t>
      </w:r>
      <w:r w:rsidR="00FE6CE4" w:rsidRPr="00B9018F">
        <w:rPr>
          <w:sz w:val="24"/>
          <w:szCs w:val="24"/>
        </w:rPr>
        <w:t>s case-or-controversy requirement.</w:t>
      </w:r>
      <w:r w:rsidR="002A72DE" w:rsidRPr="00B9018F">
        <w:rPr>
          <w:rStyle w:val="FootnoteReference"/>
          <w:sz w:val="24"/>
          <w:szCs w:val="24"/>
        </w:rPr>
        <w:footnoteReference w:id="17"/>
      </w:r>
      <w:r w:rsidR="000F03B1" w:rsidRPr="00B9018F">
        <w:rPr>
          <w:sz w:val="24"/>
          <w:szCs w:val="24"/>
        </w:rPr>
        <w:t xml:space="preserve"> </w:t>
      </w:r>
      <w:r w:rsidR="002A72DE" w:rsidRPr="00B9018F">
        <w:rPr>
          <w:sz w:val="24"/>
          <w:szCs w:val="24"/>
        </w:rPr>
        <w:t>The court, ultimately concluding that all plaintiffs had standing to maintain their actions, set out the following</w:t>
      </w:r>
      <w:r w:rsidR="00A4582C" w:rsidRPr="00B9018F">
        <w:rPr>
          <w:sz w:val="24"/>
          <w:szCs w:val="24"/>
        </w:rPr>
        <w:t>,</w:t>
      </w:r>
      <w:r w:rsidR="002A72DE" w:rsidRPr="00B9018F">
        <w:rPr>
          <w:sz w:val="24"/>
          <w:szCs w:val="24"/>
        </w:rPr>
        <w:t xml:space="preserve"> three-part </w:t>
      </w:r>
      <w:r w:rsidR="00A4582C" w:rsidRPr="00B9018F">
        <w:rPr>
          <w:sz w:val="24"/>
          <w:szCs w:val="24"/>
        </w:rPr>
        <w:t>standard</w:t>
      </w:r>
      <w:r w:rsidR="002A72DE" w:rsidRPr="00B9018F">
        <w:rPr>
          <w:sz w:val="24"/>
          <w:szCs w:val="24"/>
        </w:rPr>
        <w:t>:</w:t>
      </w:r>
    </w:p>
    <w:p w14:paraId="4EBE3AAA" w14:textId="77777777" w:rsidR="00A4582C" w:rsidRPr="00B9018F" w:rsidRDefault="00A4582C" w:rsidP="00B43654">
      <w:pPr>
        <w:jc w:val="both"/>
        <w:rPr>
          <w:sz w:val="24"/>
          <w:szCs w:val="24"/>
        </w:rPr>
      </w:pPr>
    </w:p>
    <w:p w14:paraId="72DD64EB" w14:textId="1EAEDE3A" w:rsidR="00A4582C" w:rsidRPr="00B9018F" w:rsidRDefault="00A4582C" w:rsidP="00A4582C">
      <w:pPr>
        <w:ind w:left="720" w:right="720"/>
        <w:jc w:val="both"/>
        <w:rPr>
          <w:sz w:val="24"/>
          <w:szCs w:val="24"/>
        </w:rPr>
      </w:pPr>
      <w:r w:rsidRPr="00B9018F">
        <w:rPr>
          <w:sz w:val="24"/>
          <w:szCs w:val="24"/>
        </w:rPr>
        <w:t>First, the plaintiff must have suffered an injury in fact—an invasion of a legally protected interest which is (a) concrete and particularized and (b) actual or imminent, not conjectural or hypothetical. Second, there must be a causal connection between the injury and the conduct complained of—the injury has to be fairly traceable to the challenged action of the defendant, and not the result of the independent action of some third party not before the court. Third, it must be likely, as opposed to merely speculative, that the injury will be redressed by a favorable decision.</w:t>
      </w:r>
      <w:r w:rsidRPr="00B9018F">
        <w:rPr>
          <w:rStyle w:val="FootnoteReference"/>
          <w:sz w:val="24"/>
          <w:szCs w:val="24"/>
        </w:rPr>
        <w:footnoteReference w:id="18"/>
      </w:r>
    </w:p>
    <w:p w14:paraId="6A6C20F9" w14:textId="77777777" w:rsidR="00A4582C" w:rsidRPr="00B9018F" w:rsidRDefault="00A4582C" w:rsidP="00A4582C">
      <w:pPr>
        <w:ind w:left="720" w:right="720"/>
        <w:jc w:val="both"/>
        <w:rPr>
          <w:sz w:val="24"/>
          <w:szCs w:val="24"/>
        </w:rPr>
      </w:pPr>
    </w:p>
    <w:p w14:paraId="5139E80B" w14:textId="66D0CA39" w:rsidR="00A4582C" w:rsidRPr="00B9018F" w:rsidRDefault="00D41DEC" w:rsidP="00F533E4">
      <w:pPr>
        <w:jc w:val="both"/>
        <w:rPr>
          <w:sz w:val="24"/>
          <w:szCs w:val="24"/>
        </w:rPr>
      </w:pPr>
      <w:r w:rsidRPr="00B9018F">
        <w:rPr>
          <w:sz w:val="24"/>
          <w:szCs w:val="24"/>
        </w:rPr>
        <w:tab/>
      </w:r>
      <w:r w:rsidR="00CA2A1F" w:rsidRPr="00B9018F">
        <w:rPr>
          <w:sz w:val="24"/>
          <w:szCs w:val="24"/>
        </w:rPr>
        <w:t xml:space="preserve">In applying the test to these plaintiffs, the </w:t>
      </w:r>
      <w:r w:rsidR="00CA2A1F" w:rsidRPr="00B9018F">
        <w:rPr>
          <w:i/>
          <w:sz w:val="24"/>
          <w:szCs w:val="24"/>
        </w:rPr>
        <w:t xml:space="preserve">Connecticut </w:t>
      </w:r>
      <w:r w:rsidR="00CA2A1F" w:rsidRPr="00B9018F">
        <w:rPr>
          <w:sz w:val="24"/>
          <w:szCs w:val="24"/>
        </w:rPr>
        <w:t>court found (1) that plaintiffs</w:t>
      </w:r>
      <w:r w:rsidR="00BA4AE1">
        <w:rPr>
          <w:sz w:val="24"/>
          <w:szCs w:val="24"/>
        </w:rPr>
        <w:t>’</w:t>
      </w:r>
      <w:r w:rsidR="00CA2A1F" w:rsidRPr="00B9018F">
        <w:rPr>
          <w:sz w:val="24"/>
          <w:szCs w:val="24"/>
        </w:rPr>
        <w:t xml:space="preserve"> alleged future injury </w:t>
      </w:r>
      <w:r w:rsidR="00E23371" w:rsidRPr="00B9018F">
        <w:rPr>
          <w:sz w:val="24"/>
          <w:szCs w:val="24"/>
        </w:rPr>
        <w:t xml:space="preserve">was </w:t>
      </w:r>
      <w:r w:rsidR="00CA2A1F" w:rsidRPr="00B9018F">
        <w:rPr>
          <w:sz w:val="24"/>
          <w:szCs w:val="24"/>
        </w:rPr>
        <w:t>sufficient to constitute an injury-in-fact, (2) that by alleging that defendants</w:t>
      </w:r>
      <w:r w:rsidR="009442FB" w:rsidRPr="00B9018F">
        <w:rPr>
          <w:sz w:val="24"/>
          <w:szCs w:val="24"/>
        </w:rPr>
        <w:t>’</w:t>
      </w:r>
      <w:r w:rsidR="00CA2A1F" w:rsidRPr="00B9018F">
        <w:rPr>
          <w:sz w:val="24"/>
          <w:szCs w:val="24"/>
        </w:rPr>
        <w:t xml:space="preserve"> emissions contributed to their injuries, plaintiffs</w:t>
      </w:r>
      <w:r w:rsidR="009442FB" w:rsidRPr="00B9018F">
        <w:rPr>
          <w:sz w:val="24"/>
          <w:szCs w:val="24"/>
        </w:rPr>
        <w:t>’</w:t>
      </w:r>
      <w:r w:rsidR="00CA2A1F" w:rsidRPr="00B9018F">
        <w:rPr>
          <w:sz w:val="24"/>
          <w:szCs w:val="24"/>
        </w:rPr>
        <w:t xml:space="preserve"> future injuries were fairly traceable to the defendants</w:t>
      </w:r>
      <w:r w:rsidR="009442FB" w:rsidRPr="00B9018F">
        <w:rPr>
          <w:sz w:val="24"/>
          <w:szCs w:val="24"/>
        </w:rPr>
        <w:t>’</w:t>
      </w:r>
      <w:r w:rsidR="00CA2A1F" w:rsidRPr="00B9018F">
        <w:rPr>
          <w:sz w:val="24"/>
          <w:szCs w:val="24"/>
        </w:rPr>
        <w:t xml:space="preserve"> conduct, and (3) that, even though defendants</w:t>
      </w:r>
      <w:r w:rsidR="009442FB" w:rsidRPr="00B9018F">
        <w:rPr>
          <w:sz w:val="24"/>
          <w:szCs w:val="24"/>
        </w:rPr>
        <w:t>’</w:t>
      </w:r>
      <w:r w:rsidR="00CA2A1F" w:rsidRPr="00B9018F">
        <w:rPr>
          <w:sz w:val="24"/>
          <w:szCs w:val="24"/>
        </w:rPr>
        <w:t xml:space="preserve"> carbon emissions ha</w:t>
      </w:r>
      <w:r w:rsidR="00E23371" w:rsidRPr="00B9018F">
        <w:rPr>
          <w:sz w:val="24"/>
          <w:szCs w:val="24"/>
        </w:rPr>
        <w:t>d</w:t>
      </w:r>
      <w:r w:rsidR="00CA2A1F" w:rsidRPr="00B9018F">
        <w:rPr>
          <w:sz w:val="24"/>
          <w:szCs w:val="24"/>
        </w:rPr>
        <w:t xml:space="preserve"> global effects, the </w:t>
      </w:r>
      <w:r w:rsidR="00F533E4" w:rsidRPr="00B9018F">
        <w:rPr>
          <w:sz w:val="24"/>
          <w:szCs w:val="24"/>
        </w:rPr>
        <w:t>magnitude of plaintiffs</w:t>
      </w:r>
      <w:r w:rsidR="009442FB" w:rsidRPr="00B9018F">
        <w:rPr>
          <w:sz w:val="24"/>
          <w:szCs w:val="24"/>
        </w:rPr>
        <w:t>’</w:t>
      </w:r>
      <w:r w:rsidR="00F533E4" w:rsidRPr="00B9018F">
        <w:rPr>
          <w:sz w:val="24"/>
          <w:szCs w:val="24"/>
        </w:rPr>
        <w:t xml:space="preserve"> injuries </w:t>
      </w:r>
      <w:r w:rsidR="00BA4AE1">
        <w:rPr>
          <w:sz w:val="24"/>
          <w:szCs w:val="24"/>
        </w:rPr>
        <w:t>would</w:t>
      </w:r>
      <w:r w:rsidR="00F533E4" w:rsidRPr="00B9018F">
        <w:rPr>
          <w:sz w:val="24"/>
          <w:szCs w:val="24"/>
        </w:rPr>
        <w:t xml:space="preserve"> be decreased if the court imposed a remedy requiring that defendants</w:t>
      </w:r>
      <w:r w:rsidR="009442FB" w:rsidRPr="00B9018F">
        <w:rPr>
          <w:sz w:val="24"/>
          <w:szCs w:val="24"/>
        </w:rPr>
        <w:t>’</w:t>
      </w:r>
      <w:r w:rsidR="00F533E4" w:rsidRPr="00B9018F">
        <w:rPr>
          <w:sz w:val="24"/>
          <w:szCs w:val="24"/>
        </w:rPr>
        <w:t xml:space="preserve"> reduced their emissions.</w:t>
      </w:r>
      <w:r w:rsidR="00E23371" w:rsidRPr="00B9018F">
        <w:rPr>
          <w:rStyle w:val="FootnoteReference"/>
          <w:sz w:val="24"/>
          <w:szCs w:val="24"/>
        </w:rPr>
        <w:footnoteReference w:id="19"/>
      </w:r>
      <w:r w:rsidR="00F533E4" w:rsidRPr="00B9018F">
        <w:rPr>
          <w:sz w:val="24"/>
          <w:szCs w:val="24"/>
        </w:rPr>
        <w:t xml:space="preserve"> </w:t>
      </w:r>
    </w:p>
    <w:p w14:paraId="24BC05AE" w14:textId="77777777" w:rsidR="00ED51AC" w:rsidRPr="00B9018F" w:rsidRDefault="00ED51AC" w:rsidP="00CB08B9">
      <w:pPr>
        <w:ind w:left="720"/>
        <w:jc w:val="both"/>
        <w:rPr>
          <w:sz w:val="24"/>
          <w:szCs w:val="24"/>
        </w:rPr>
      </w:pPr>
    </w:p>
    <w:p w14:paraId="5B7C848E" w14:textId="4FB7B3BA" w:rsidR="00D41DEC" w:rsidRPr="00B9018F" w:rsidRDefault="00D41DEC" w:rsidP="00D26FBA">
      <w:pPr>
        <w:jc w:val="both"/>
        <w:rPr>
          <w:sz w:val="24"/>
          <w:szCs w:val="24"/>
        </w:rPr>
      </w:pPr>
      <w:r w:rsidRPr="00B9018F">
        <w:rPr>
          <w:sz w:val="24"/>
          <w:szCs w:val="24"/>
        </w:rPr>
        <w:tab/>
      </w:r>
      <w:r w:rsidR="00BA4AE1">
        <w:rPr>
          <w:sz w:val="24"/>
          <w:szCs w:val="24"/>
        </w:rPr>
        <w:t xml:space="preserve">Although </w:t>
      </w:r>
      <w:r w:rsidR="00BA4AE1">
        <w:rPr>
          <w:i/>
          <w:sz w:val="24"/>
          <w:szCs w:val="24"/>
        </w:rPr>
        <w:t xml:space="preserve">Connecticut </w:t>
      </w:r>
      <w:r w:rsidR="00BA4AE1">
        <w:rPr>
          <w:sz w:val="24"/>
          <w:szCs w:val="24"/>
        </w:rPr>
        <w:t xml:space="preserve">recognized potential standing for various public and quasi-public plaintiffs other than because of the “special solicitude” </w:t>
      </w:r>
      <w:r w:rsidR="00EF34C7">
        <w:rPr>
          <w:sz w:val="24"/>
          <w:szCs w:val="24"/>
        </w:rPr>
        <w:t xml:space="preserve">recognized in </w:t>
      </w:r>
      <w:r w:rsidR="00EF34C7">
        <w:rPr>
          <w:i/>
          <w:sz w:val="24"/>
          <w:szCs w:val="24"/>
        </w:rPr>
        <w:t>Massachusetts v. E.P.A.</w:t>
      </w:r>
      <w:r w:rsidR="00EF34C7">
        <w:rPr>
          <w:sz w:val="24"/>
          <w:szCs w:val="24"/>
        </w:rPr>
        <w:t>, f</w:t>
      </w:r>
      <w:r w:rsidRPr="00B9018F">
        <w:rPr>
          <w:sz w:val="24"/>
          <w:szCs w:val="24"/>
        </w:rPr>
        <w:t xml:space="preserve">ew cases discuss </w:t>
      </w:r>
      <w:r w:rsidR="00D26FBA" w:rsidRPr="00B9018F">
        <w:rPr>
          <w:sz w:val="24"/>
          <w:szCs w:val="24"/>
        </w:rPr>
        <w:t xml:space="preserve">the standing of </w:t>
      </w:r>
      <w:r w:rsidR="00EF34C7">
        <w:rPr>
          <w:sz w:val="24"/>
          <w:szCs w:val="24"/>
        </w:rPr>
        <w:t>solely</w:t>
      </w:r>
      <w:r w:rsidR="00D26FBA" w:rsidRPr="00B9018F">
        <w:rPr>
          <w:sz w:val="24"/>
          <w:szCs w:val="24"/>
        </w:rPr>
        <w:t xml:space="preserve"> private plaintiff</w:t>
      </w:r>
      <w:r w:rsidR="00EF34C7">
        <w:rPr>
          <w:sz w:val="24"/>
          <w:szCs w:val="24"/>
        </w:rPr>
        <w:t>s</w:t>
      </w:r>
      <w:r w:rsidR="00D26FBA" w:rsidRPr="00B9018F">
        <w:rPr>
          <w:sz w:val="24"/>
          <w:szCs w:val="24"/>
        </w:rPr>
        <w:t xml:space="preserve"> to bring a</w:t>
      </w:r>
      <w:r w:rsidR="00EF34C7">
        <w:rPr>
          <w:sz w:val="24"/>
          <w:szCs w:val="24"/>
        </w:rPr>
        <w:t xml:space="preserve"> climate change claim against </w:t>
      </w:r>
      <w:r w:rsidR="00D26FBA" w:rsidRPr="00B9018F">
        <w:rPr>
          <w:sz w:val="24"/>
          <w:szCs w:val="24"/>
        </w:rPr>
        <w:t>private defendant</w:t>
      </w:r>
      <w:r w:rsidR="00EF34C7">
        <w:rPr>
          <w:sz w:val="24"/>
          <w:szCs w:val="24"/>
        </w:rPr>
        <w:t xml:space="preserve">s. However, </w:t>
      </w:r>
      <w:r w:rsidR="00D26FBA" w:rsidRPr="00B9018F">
        <w:rPr>
          <w:sz w:val="24"/>
          <w:szCs w:val="24"/>
        </w:rPr>
        <w:t>t</w:t>
      </w:r>
      <w:r w:rsidRPr="00B9018F">
        <w:rPr>
          <w:sz w:val="24"/>
          <w:szCs w:val="24"/>
        </w:rPr>
        <w:t>he United States District Court for the Di</w:t>
      </w:r>
      <w:r w:rsidR="00D26FBA" w:rsidRPr="00B9018F">
        <w:rPr>
          <w:sz w:val="24"/>
          <w:szCs w:val="24"/>
        </w:rPr>
        <w:t xml:space="preserve">strict of Oregon tackled that exact question in </w:t>
      </w:r>
      <w:r w:rsidR="00D26FBA" w:rsidRPr="00B9018F">
        <w:rPr>
          <w:i/>
          <w:sz w:val="24"/>
          <w:szCs w:val="24"/>
        </w:rPr>
        <w:t>Nw. Envtl. Def. Ctr. v. Owens Corning Corp.</w:t>
      </w:r>
      <w:r w:rsidR="00E23371" w:rsidRPr="00B9018F">
        <w:rPr>
          <w:rStyle w:val="FootnoteReference"/>
          <w:sz w:val="24"/>
          <w:szCs w:val="24"/>
        </w:rPr>
        <w:footnoteReference w:id="20"/>
      </w:r>
      <w:r w:rsidR="00D26FBA" w:rsidRPr="00B9018F">
        <w:rPr>
          <w:sz w:val="24"/>
          <w:szCs w:val="24"/>
        </w:rPr>
        <w:t xml:space="preserve"> In </w:t>
      </w:r>
      <w:r w:rsidR="00D26FBA" w:rsidRPr="00B9018F">
        <w:rPr>
          <w:i/>
          <w:sz w:val="24"/>
          <w:szCs w:val="24"/>
        </w:rPr>
        <w:t>Owens Corning</w:t>
      </w:r>
      <w:r w:rsidR="00D26FBA" w:rsidRPr="00B9018F">
        <w:rPr>
          <w:sz w:val="24"/>
          <w:szCs w:val="24"/>
        </w:rPr>
        <w:t>, several private environmental groups brought a claim against a single, private manufacturer of foam insulation for violation of the federal Clean Air Act.</w:t>
      </w:r>
      <w:r w:rsidR="00D26FBA" w:rsidRPr="00B9018F">
        <w:rPr>
          <w:rStyle w:val="FootnoteReference"/>
          <w:sz w:val="24"/>
          <w:szCs w:val="24"/>
        </w:rPr>
        <w:footnoteReference w:id="21"/>
      </w:r>
      <w:r w:rsidR="00D26FBA" w:rsidRPr="00B9018F">
        <w:rPr>
          <w:sz w:val="24"/>
          <w:szCs w:val="24"/>
        </w:rPr>
        <w:t xml:space="preserve"> The defendant manufacturer moved to dismiss plaintiffs</w:t>
      </w:r>
      <w:r w:rsidR="009442FB" w:rsidRPr="00B9018F">
        <w:rPr>
          <w:sz w:val="24"/>
          <w:szCs w:val="24"/>
        </w:rPr>
        <w:t>’</w:t>
      </w:r>
      <w:r w:rsidR="00D26FBA" w:rsidRPr="00B9018F">
        <w:rPr>
          <w:sz w:val="24"/>
          <w:szCs w:val="24"/>
        </w:rPr>
        <w:t xml:space="preserve"> claims for lack of standing.</w:t>
      </w:r>
      <w:r w:rsidR="00A179F8" w:rsidRPr="00B9018F">
        <w:rPr>
          <w:rStyle w:val="FootnoteReference"/>
          <w:sz w:val="24"/>
          <w:szCs w:val="24"/>
        </w:rPr>
        <w:footnoteReference w:id="22"/>
      </w:r>
      <w:r w:rsidR="00D26FBA" w:rsidRPr="00B9018F">
        <w:rPr>
          <w:sz w:val="24"/>
          <w:szCs w:val="24"/>
        </w:rPr>
        <w:t xml:space="preserve"> A</w:t>
      </w:r>
      <w:r w:rsidRPr="00B9018F">
        <w:rPr>
          <w:sz w:val="24"/>
          <w:szCs w:val="24"/>
        </w:rPr>
        <w:t xml:space="preserve">pplying the same three-part test from </w:t>
      </w:r>
      <w:r w:rsidRPr="00B9018F">
        <w:rPr>
          <w:i/>
          <w:sz w:val="24"/>
          <w:szCs w:val="24"/>
        </w:rPr>
        <w:t>Connecticut</w:t>
      </w:r>
      <w:r w:rsidRPr="00B9018F">
        <w:rPr>
          <w:sz w:val="24"/>
          <w:szCs w:val="24"/>
        </w:rPr>
        <w:t xml:space="preserve">, </w:t>
      </w:r>
      <w:r w:rsidR="00E83B9F" w:rsidRPr="00B9018F">
        <w:rPr>
          <w:sz w:val="24"/>
          <w:szCs w:val="24"/>
        </w:rPr>
        <w:t>the court held that plaintiffs</w:t>
      </w:r>
      <w:r w:rsidR="009442FB" w:rsidRPr="00B9018F">
        <w:rPr>
          <w:sz w:val="24"/>
          <w:szCs w:val="24"/>
        </w:rPr>
        <w:t>’</w:t>
      </w:r>
      <w:r w:rsidR="00E83B9F" w:rsidRPr="00B9018F">
        <w:rPr>
          <w:sz w:val="24"/>
          <w:szCs w:val="24"/>
        </w:rPr>
        <w:t xml:space="preserve"> had standing to maintain their claims because they satisfied the injury-in-fact, fairly traceable, and redressability requirements.</w:t>
      </w:r>
      <w:r w:rsidR="005E7E2C" w:rsidRPr="00B9018F">
        <w:rPr>
          <w:rStyle w:val="FootnoteReference"/>
          <w:sz w:val="24"/>
          <w:szCs w:val="24"/>
        </w:rPr>
        <w:footnoteReference w:id="23"/>
      </w:r>
      <w:r w:rsidR="00E83B9F" w:rsidRPr="00B9018F">
        <w:rPr>
          <w:sz w:val="24"/>
          <w:szCs w:val="24"/>
        </w:rPr>
        <w:t xml:space="preserve"> </w:t>
      </w:r>
    </w:p>
    <w:p w14:paraId="6C4861D3" w14:textId="77777777" w:rsidR="00D26FBA" w:rsidRPr="00B9018F" w:rsidRDefault="00D26FBA" w:rsidP="00D26FBA">
      <w:pPr>
        <w:jc w:val="both"/>
        <w:rPr>
          <w:sz w:val="24"/>
          <w:szCs w:val="24"/>
        </w:rPr>
      </w:pPr>
    </w:p>
    <w:p w14:paraId="6368498A" w14:textId="5576BE03" w:rsidR="00EE4A6A" w:rsidRPr="00B9018F" w:rsidRDefault="00E83B9F" w:rsidP="00EE4A6A">
      <w:pPr>
        <w:jc w:val="both"/>
        <w:rPr>
          <w:sz w:val="24"/>
          <w:szCs w:val="24"/>
        </w:rPr>
      </w:pPr>
      <w:r w:rsidRPr="00B9018F">
        <w:rPr>
          <w:sz w:val="24"/>
          <w:szCs w:val="24"/>
        </w:rPr>
        <w:tab/>
      </w:r>
      <w:r w:rsidR="00EE4A6A" w:rsidRPr="00B9018F">
        <w:rPr>
          <w:sz w:val="24"/>
          <w:szCs w:val="24"/>
        </w:rPr>
        <w:t xml:space="preserve">Later, in 2015, a coalition of young climate change activists filed suit against the United States in the United States District Court for the District of Oregon, seeking an order compelling the federal government to </w:t>
      </w:r>
      <w:r w:rsidR="009442FB" w:rsidRPr="00B9018F">
        <w:rPr>
          <w:sz w:val="24"/>
          <w:szCs w:val="24"/>
        </w:rPr>
        <w:t>“</w:t>
      </w:r>
      <w:r w:rsidR="00EE4A6A" w:rsidRPr="00B9018F">
        <w:rPr>
          <w:sz w:val="24"/>
          <w:szCs w:val="24"/>
        </w:rPr>
        <w:t>phase-down CO</w:t>
      </w:r>
      <w:r w:rsidR="00EE4A6A" w:rsidRPr="00B9018F">
        <w:rPr>
          <w:sz w:val="24"/>
          <w:szCs w:val="24"/>
          <w:vertAlign w:val="subscript"/>
        </w:rPr>
        <w:t>2</w:t>
      </w:r>
      <w:r w:rsidR="00EE4A6A" w:rsidRPr="00B9018F">
        <w:rPr>
          <w:sz w:val="24"/>
          <w:szCs w:val="24"/>
        </w:rPr>
        <w:t xml:space="preserve"> emissions . . . develop a natural plan to restore Earth</w:t>
      </w:r>
      <w:r w:rsidR="009442FB" w:rsidRPr="00B9018F">
        <w:rPr>
          <w:sz w:val="24"/>
          <w:szCs w:val="24"/>
        </w:rPr>
        <w:t>’</w:t>
      </w:r>
      <w:r w:rsidR="00EE4A6A" w:rsidRPr="00B9018F">
        <w:rPr>
          <w:sz w:val="24"/>
          <w:szCs w:val="24"/>
        </w:rPr>
        <w:t>s energy balance, and implement that national plan so as to stabilize the climate system.</w:t>
      </w:r>
      <w:r w:rsidR="009442FB" w:rsidRPr="00B9018F">
        <w:rPr>
          <w:sz w:val="24"/>
          <w:szCs w:val="24"/>
        </w:rPr>
        <w:t>”</w:t>
      </w:r>
      <w:r w:rsidR="00EE4A6A" w:rsidRPr="00B9018F">
        <w:rPr>
          <w:rStyle w:val="FootnoteReference"/>
          <w:sz w:val="24"/>
          <w:szCs w:val="24"/>
        </w:rPr>
        <w:footnoteReference w:id="24"/>
      </w:r>
      <w:r w:rsidR="00EE4A6A" w:rsidRPr="00B9018F">
        <w:rPr>
          <w:sz w:val="24"/>
          <w:szCs w:val="24"/>
        </w:rPr>
        <w:t xml:space="preserve"> In November 2016, the district court denied the government</w:t>
      </w:r>
      <w:r w:rsidR="009442FB" w:rsidRPr="00B9018F">
        <w:rPr>
          <w:sz w:val="24"/>
          <w:szCs w:val="24"/>
        </w:rPr>
        <w:t>’</w:t>
      </w:r>
      <w:r w:rsidR="00EE4A6A" w:rsidRPr="00B9018F">
        <w:rPr>
          <w:sz w:val="24"/>
          <w:szCs w:val="24"/>
        </w:rPr>
        <w:t xml:space="preserve">s motion to dismiss for lack of jurisdiction and for failure to state a claim, concluding that </w:t>
      </w:r>
      <w:r w:rsidR="009442FB" w:rsidRPr="00B9018F">
        <w:rPr>
          <w:sz w:val="24"/>
          <w:szCs w:val="24"/>
        </w:rPr>
        <w:t>“</w:t>
      </w:r>
      <w:r w:rsidR="00EE4A6A" w:rsidRPr="00B9018F">
        <w:rPr>
          <w:sz w:val="24"/>
          <w:szCs w:val="24"/>
        </w:rPr>
        <w:t>the world has suffered</w:t>
      </w:r>
      <w:r w:rsidR="009442FB" w:rsidRPr="00B9018F">
        <w:rPr>
          <w:sz w:val="24"/>
          <w:szCs w:val="24"/>
        </w:rPr>
        <w:t>”</w:t>
      </w:r>
      <w:r w:rsidR="00EE4A6A" w:rsidRPr="00B9018F">
        <w:rPr>
          <w:sz w:val="24"/>
          <w:szCs w:val="24"/>
        </w:rPr>
        <w:t xml:space="preserve"> because federal courts </w:t>
      </w:r>
      <w:r w:rsidR="009442FB" w:rsidRPr="00B9018F">
        <w:rPr>
          <w:sz w:val="24"/>
          <w:szCs w:val="24"/>
        </w:rPr>
        <w:t>“</w:t>
      </w:r>
      <w:r w:rsidR="00EE4A6A" w:rsidRPr="00B9018F">
        <w:rPr>
          <w:sz w:val="24"/>
          <w:szCs w:val="24"/>
        </w:rPr>
        <w:t>too often have been cautious and overly deferential in the arena of environmental law</w:t>
      </w:r>
      <w:r w:rsidR="009442FB" w:rsidRPr="00B9018F">
        <w:rPr>
          <w:sz w:val="24"/>
          <w:szCs w:val="24"/>
        </w:rPr>
        <w:t>”</w:t>
      </w:r>
      <w:r w:rsidR="00EE4A6A" w:rsidRPr="00B9018F">
        <w:rPr>
          <w:sz w:val="24"/>
          <w:szCs w:val="24"/>
        </w:rPr>
        <w:t xml:space="preserve"> and that, even </w:t>
      </w:r>
      <w:r w:rsidR="009442FB" w:rsidRPr="00B9018F">
        <w:rPr>
          <w:sz w:val="24"/>
          <w:szCs w:val="24"/>
        </w:rPr>
        <w:t>“</w:t>
      </w:r>
      <w:r w:rsidR="00EE4A6A" w:rsidRPr="00B9018F">
        <w:rPr>
          <w:sz w:val="24"/>
          <w:szCs w:val="24"/>
        </w:rPr>
        <w:t>when a case implicates hotly contested political issues, the judiciary must not shrink from its role as a coequal branch of government.</w:t>
      </w:r>
      <w:r w:rsidR="009442FB" w:rsidRPr="00B9018F">
        <w:rPr>
          <w:sz w:val="24"/>
          <w:szCs w:val="24"/>
        </w:rPr>
        <w:t>”</w:t>
      </w:r>
      <w:r w:rsidR="00EE4A6A" w:rsidRPr="00B9018F">
        <w:rPr>
          <w:rStyle w:val="FootnoteReference"/>
          <w:sz w:val="24"/>
          <w:szCs w:val="24"/>
        </w:rPr>
        <w:footnoteReference w:id="25"/>
      </w:r>
      <w:r w:rsidR="00DD2ED3" w:rsidRPr="00B9018F">
        <w:rPr>
          <w:sz w:val="24"/>
          <w:szCs w:val="24"/>
        </w:rPr>
        <w:t xml:space="preserve"> T</w:t>
      </w:r>
      <w:r w:rsidR="00EE4A6A" w:rsidRPr="00B9018F">
        <w:rPr>
          <w:sz w:val="24"/>
          <w:szCs w:val="24"/>
        </w:rPr>
        <w:t>he Supreme Court</w:t>
      </w:r>
      <w:r w:rsidR="00EF34C7">
        <w:rPr>
          <w:sz w:val="24"/>
          <w:szCs w:val="24"/>
        </w:rPr>
        <w:t>,</w:t>
      </w:r>
      <w:r w:rsidR="00DD2ED3" w:rsidRPr="00B9018F">
        <w:rPr>
          <w:sz w:val="24"/>
          <w:szCs w:val="24"/>
        </w:rPr>
        <w:t xml:space="preserve"> on</w:t>
      </w:r>
      <w:r w:rsidR="00EE4A6A" w:rsidRPr="00B9018F">
        <w:rPr>
          <w:sz w:val="24"/>
          <w:szCs w:val="24"/>
        </w:rPr>
        <w:t xml:space="preserve"> </w:t>
      </w:r>
      <w:r w:rsidR="00DD2ED3" w:rsidRPr="00B9018F">
        <w:rPr>
          <w:sz w:val="24"/>
          <w:szCs w:val="24"/>
        </w:rPr>
        <w:t xml:space="preserve">November 2, 2018, </w:t>
      </w:r>
      <w:r w:rsidR="00EE4A6A" w:rsidRPr="00B9018F">
        <w:rPr>
          <w:sz w:val="24"/>
          <w:szCs w:val="24"/>
        </w:rPr>
        <w:t>denied the governm</w:t>
      </w:r>
      <w:r w:rsidR="00066CEE" w:rsidRPr="00B9018F">
        <w:rPr>
          <w:sz w:val="24"/>
          <w:szCs w:val="24"/>
        </w:rPr>
        <w:t>ent</w:t>
      </w:r>
      <w:r w:rsidR="009442FB" w:rsidRPr="00B9018F">
        <w:rPr>
          <w:sz w:val="24"/>
          <w:szCs w:val="24"/>
        </w:rPr>
        <w:t>’</w:t>
      </w:r>
      <w:r w:rsidR="00066CEE" w:rsidRPr="00B9018F">
        <w:rPr>
          <w:sz w:val="24"/>
          <w:szCs w:val="24"/>
        </w:rPr>
        <w:t>s requests to stay the suit and</w:t>
      </w:r>
      <w:r w:rsidR="00EE4A6A" w:rsidRPr="00B9018F">
        <w:rPr>
          <w:sz w:val="24"/>
          <w:szCs w:val="24"/>
        </w:rPr>
        <w:t xml:space="preserve"> allow</w:t>
      </w:r>
      <w:r w:rsidR="00066CEE" w:rsidRPr="00B9018F">
        <w:rPr>
          <w:sz w:val="24"/>
          <w:szCs w:val="24"/>
        </w:rPr>
        <w:t>ed</w:t>
      </w:r>
      <w:r w:rsidR="00EE4A6A" w:rsidRPr="00B9018F">
        <w:rPr>
          <w:sz w:val="24"/>
          <w:szCs w:val="24"/>
        </w:rPr>
        <w:t xml:space="preserve"> the 9th Circuit proceedings to continue.</w:t>
      </w:r>
      <w:r w:rsidR="00EE4A6A" w:rsidRPr="00B9018F">
        <w:rPr>
          <w:rStyle w:val="FootnoteReference"/>
          <w:sz w:val="24"/>
          <w:szCs w:val="24"/>
        </w:rPr>
        <w:footnoteReference w:id="26"/>
      </w:r>
      <w:r w:rsidR="00EE4A6A" w:rsidRPr="00B9018F">
        <w:rPr>
          <w:sz w:val="24"/>
          <w:szCs w:val="24"/>
        </w:rPr>
        <w:t xml:space="preserve"> </w:t>
      </w:r>
    </w:p>
    <w:p w14:paraId="65BBD65E" w14:textId="32DA227A" w:rsidR="00EE4A6A" w:rsidRPr="00B9018F" w:rsidRDefault="00EE4A6A" w:rsidP="00EE4A6A">
      <w:pPr>
        <w:jc w:val="both"/>
        <w:rPr>
          <w:sz w:val="24"/>
          <w:szCs w:val="24"/>
        </w:rPr>
      </w:pPr>
      <w:r w:rsidRPr="00B9018F">
        <w:rPr>
          <w:sz w:val="24"/>
          <w:szCs w:val="24"/>
        </w:rPr>
        <w:t xml:space="preserve"> </w:t>
      </w:r>
    </w:p>
    <w:p w14:paraId="6359123E" w14:textId="6FF6A4ED" w:rsidR="00404D83" w:rsidRPr="00B9018F" w:rsidRDefault="00EE4A6A" w:rsidP="00D26FBA">
      <w:pPr>
        <w:jc w:val="both"/>
        <w:rPr>
          <w:sz w:val="24"/>
          <w:szCs w:val="24"/>
        </w:rPr>
      </w:pPr>
      <w:r w:rsidRPr="00B9018F">
        <w:rPr>
          <w:sz w:val="24"/>
          <w:szCs w:val="24"/>
        </w:rPr>
        <w:tab/>
      </w:r>
      <w:r w:rsidR="006F0266" w:rsidRPr="00B9018F">
        <w:rPr>
          <w:sz w:val="24"/>
          <w:szCs w:val="24"/>
        </w:rPr>
        <w:t xml:space="preserve">Although lack of standing has historically proven fatal for claimants asserting climate change claims, courts are increasingly recognizing the justiciability of these claims against public and private entities alike. </w:t>
      </w:r>
      <w:r w:rsidR="00066CEE" w:rsidRPr="00B9018F">
        <w:rPr>
          <w:sz w:val="24"/>
          <w:szCs w:val="24"/>
        </w:rPr>
        <w:t>D</w:t>
      </w:r>
      <w:r w:rsidR="006F0266" w:rsidRPr="00B9018F">
        <w:rPr>
          <w:sz w:val="24"/>
          <w:szCs w:val="24"/>
        </w:rPr>
        <w:t>emonstrating standing is</w:t>
      </w:r>
      <w:r w:rsidR="00E659F8" w:rsidRPr="00B9018F">
        <w:rPr>
          <w:sz w:val="24"/>
          <w:szCs w:val="24"/>
        </w:rPr>
        <w:t xml:space="preserve"> but</w:t>
      </w:r>
      <w:r w:rsidR="006F0266" w:rsidRPr="00B9018F">
        <w:rPr>
          <w:sz w:val="24"/>
          <w:szCs w:val="24"/>
        </w:rPr>
        <w:t xml:space="preserve"> the first requirement to show that an insured is liable for a claimant</w:t>
      </w:r>
      <w:r w:rsidR="009442FB" w:rsidRPr="00B9018F">
        <w:rPr>
          <w:sz w:val="24"/>
          <w:szCs w:val="24"/>
        </w:rPr>
        <w:t>’</w:t>
      </w:r>
      <w:r w:rsidR="006F0266" w:rsidRPr="00B9018F">
        <w:rPr>
          <w:sz w:val="24"/>
          <w:szCs w:val="24"/>
        </w:rPr>
        <w:t>s alleged damages</w:t>
      </w:r>
      <w:r w:rsidR="00E659F8" w:rsidRPr="00B9018F">
        <w:rPr>
          <w:sz w:val="24"/>
          <w:szCs w:val="24"/>
        </w:rPr>
        <w:t>, however</w:t>
      </w:r>
      <w:r w:rsidR="006F0266" w:rsidRPr="00B9018F">
        <w:rPr>
          <w:sz w:val="24"/>
          <w:szCs w:val="24"/>
        </w:rPr>
        <w:t xml:space="preserve">. Once it has been established that </w:t>
      </w:r>
      <w:r w:rsidR="00EF34C7">
        <w:rPr>
          <w:sz w:val="24"/>
          <w:szCs w:val="24"/>
        </w:rPr>
        <w:t>a</w:t>
      </w:r>
      <w:r w:rsidR="006F0266" w:rsidRPr="00B9018F">
        <w:rPr>
          <w:sz w:val="24"/>
          <w:szCs w:val="24"/>
        </w:rPr>
        <w:t xml:space="preserve"> claimant has standing to maintain a climate c</w:t>
      </w:r>
      <w:r w:rsidR="00EF34C7">
        <w:rPr>
          <w:sz w:val="24"/>
          <w:szCs w:val="24"/>
        </w:rPr>
        <w:t>hange claim against an insured, claimants</w:t>
      </w:r>
      <w:r w:rsidR="006F0266" w:rsidRPr="00B9018F">
        <w:rPr>
          <w:sz w:val="24"/>
          <w:szCs w:val="24"/>
        </w:rPr>
        <w:t xml:space="preserve"> must </w:t>
      </w:r>
      <w:r w:rsidR="00EF34C7">
        <w:rPr>
          <w:sz w:val="24"/>
          <w:szCs w:val="24"/>
        </w:rPr>
        <w:t xml:space="preserve">also </w:t>
      </w:r>
      <w:r w:rsidR="006F0266" w:rsidRPr="00B9018F">
        <w:rPr>
          <w:sz w:val="24"/>
          <w:szCs w:val="24"/>
        </w:rPr>
        <w:t>prove that the insured actually caused their damages.</w:t>
      </w:r>
      <w:r w:rsidR="009442FB" w:rsidRPr="00B9018F">
        <w:rPr>
          <w:sz w:val="24"/>
          <w:szCs w:val="24"/>
        </w:rPr>
        <w:t xml:space="preserve"> </w:t>
      </w:r>
    </w:p>
    <w:p w14:paraId="3E5AEEA8" w14:textId="77777777" w:rsidR="00EE4A6A" w:rsidRPr="00B9018F" w:rsidRDefault="00EE4A6A" w:rsidP="00D26FBA">
      <w:pPr>
        <w:jc w:val="both"/>
        <w:rPr>
          <w:sz w:val="24"/>
          <w:szCs w:val="24"/>
        </w:rPr>
      </w:pPr>
    </w:p>
    <w:p w14:paraId="39E11376" w14:textId="75697902" w:rsidR="00F532E0" w:rsidRPr="00B9018F" w:rsidRDefault="00F532E0" w:rsidP="00D26FBA">
      <w:pPr>
        <w:jc w:val="both"/>
        <w:rPr>
          <w:b/>
          <w:sz w:val="24"/>
          <w:szCs w:val="24"/>
        </w:rPr>
      </w:pPr>
      <w:r w:rsidRPr="00B9018F">
        <w:rPr>
          <w:b/>
          <w:sz w:val="24"/>
          <w:szCs w:val="24"/>
        </w:rPr>
        <w:tab/>
        <w:t>(b)</w:t>
      </w:r>
      <w:r w:rsidRPr="00B9018F">
        <w:rPr>
          <w:b/>
          <w:sz w:val="24"/>
          <w:szCs w:val="24"/>
        </w:rPr>
        <w:tab/>
        <w:t>Causation</w:t>
      </w:r>
    </w:p>
    <w:p w14:paraId="43405AC5" w14:textId="77777777" w:rsidR="009218DE" w:rsidRPr="00B9018F" w:rsidRDefault="009218DE" w:rsidP="00D26FBA">
      <w:pPr>
        <w:jc w:val="both"/>
        <w:rPr>
          <w:b/>
          <w:sz w:val="24"/>
          <w:szCs w:val="24"/>
        </w:rPr>
      </w:pPr>
    </w:p>
    <w:p w14:paraId="7304AFFB" w14:textId="1BC29ABE" w:rsidR="00792EB9" w:rsidRPr="00B9018F" w:rsidRDefault="00DD1559" w:rsidP="00792EB9">
      <w:pPr>
        <w:jc w:val="both"/>
        <w:rPr>
          <w:sz w:val="24"/>
          <w:szCs w:val="24"/>
        </w:rPr>
      </w:pPr>
      <w:r w:rsidRPr="00B9018F">
        <w:rPr>
          <w:b/>
          <w:sz w:val="24"/>
          <w:szCs w:val="24"/>
        </w:rPr>
        <w:tab/>
      </w:r>
      <w:r w:rsidR="002A52A7" w:rsidRPr="00B9018F">
        <w:rPr>
          <w:sz w:val="24"/>
          <w:szCs w:val="24"/>
        </w:rPr>
        <w:t xml:space="preserve">Moving forward, proving causation, by and large, will be the most important issue controlling potential coverage for third-party liability claims involving climate change. </w:t>
      </w:r>
      <w:r w:rsidR="00AF6BD7" w:rsidRPr="00B9018F">
        <w:rPr>
          <w:sz w:val="24"/>
          <w:szCs w:val="24"/>
        </w:rPr>
        <w:t>Demonstrating a link between the defendant-insured</w:t>
      </w:r>
      <w:r w:rsidR="009442FB" w:rsidRPr="00B9018F">
        <w:rPr>
          <w:sz w:val="24"/>
          <w:szCs w:val="24"/>
        </w:rPr>
        <w:t>’</w:t>
      </w:r>
      <w:r w:rsidR="00AF6BD7" w:rsidRPr="00B9018F">
        <w:rPr>
          <w:sz w:val="24"/>
          <w:szCs w:val="24"/>
        </w:rPr>
        <w:t xml:space="preserve">s conduct and the climate-related harm alleged is essential for claimants to prove causation. </w:t>
      </w:r>
      <w:r w:rsidR="002A52A7" w:rsidRPr="00B9018F">
        <w:rPr>
          <w:sz w:val="24"/>
          <w:szCs w:val="24"/>
        </w:rPr>
        <w:t>Claimants must be able to actually show that a particular insured</w:t>
      </w:r>
      <w:r w:rsidR="009442FB" w:rsidRPr="00B9018F">
        <w:rPr>
          <w:sz w:val="24"/>
          <w:szCs w:val="24"/>
        </w:rPr>
        <w:t>’</w:t>
      </w:r>
      <w:r w:rsidR="002A52A7" w:rsidRPr="00B9018F">
        <w:rPr>
          <w:sz w:val="24"/>
          <w:szCs w:val="24"/>
        </w:rPr>
        <w:t>s carbon emissions</w:t>
      </w:r>
      <w:r w:rsidR="0073738A" w:rsidRPr="00B9018F">
        <w:rPr>
          <w:sz w:val="24"/>
          <w:szCs w:val="24"/>
        </w:rPr>
        <w:t xml:space="preserve"> </w:t>
      </w:r>
      <w:r w:rsidR="00AF6BD7" w:rsidRPr="00B9018F">
        <w:rPr>
          <w:sz w:val="24"/>
          <w:szCs w:val="24"/>
        </w:rPr>
        <w:t>produced an effect on th</w:t>
      </w:r>
      <w:r w:rsidR="00EF34C7">
        <w:rPr>
          <w:sz w:val="24"/>
          <w:szCs w:val="24"/>
        </w:rPr>
        <w:t xml:space="preserve">e climate sufficient to cause an individual </w:t>
      </w:r>
      <w:r w:rsidR="00AF6BD7" w:rsidRPr="00B9018F">
        <w:rPr>
          <w:sz w:val="24"/>
          <w:szCs w:val="24"/>
        </w:rPr>
        <w:t>claimant</w:t>
      </w:r>
      <w:r w:rsidR="009442FB" w:rsidRPr="00B9018F">
        <w:rPr>
          <w:sz w:val="24"/>
          <w:szCs w:val="24"/>
        </w:rPr>
        <w:t>’</w:t>
      </w:r>
      <w:r w:rsidR="00AF6BD7" w:rsidRPr="00B9018F">
        <w:rPr>
          <w:sz w:val="24"/>
          <w:szCs w:val="24"/>
        </w:rPr>
        <w:t xml:space="preserve">s particular loss. </w:t>
      </w:r>
      <w:r w:rsidR="00EF34C7">
        <w:rPr>
          <w:sz w:val="24"/>
          <w:szCs w:val="24"/>
        </w:rPr>
        <w:t>But c</w:t>
      </w:r>
      <w:r w:rsidR="00792EB9" w:rsidRPr="00B9018F">
        <w:rPr>
          <w:sz w:val="24"/>
          <w:szCs w:val="24"/>
        </w:rPr>
        <w:t>ourts may be reluctant to accept climate change as a legal and proximate cause of a plaintiff</w:t>
      </w:r>
      <w:r w:rsidR="009442FB" w:rsidRPr="00B9018F">
        <w:rPr>
          <w:sz w:val="24"/>
          <w:szCs w:val="24"/>
        </w:rPr>
        <w:t>’</w:t>
      </w:r>
      <w:r w:rsidR="00792EB9" w:rsidRPr="00B9018F">
        <w:rPr>
          <w:sz w:val="24"/>
          <w:szCs w:val="24"/>
        </w:rPr>
        <w:t xml:space="preserve">s injury. </w:t>
      </w:r>
      <w:r w:rsidR="00FA0409" w:rsidRPr="00B9018F">
        <w:rPr>
          <w:sz w:val="24"/>
          <w:szCs w:val="24"/>
        </w:rPr>
        <w:t>Following Hurricane Katrina,</w:t>
      </w:r>
      <w:r w:rsidR="00792EB9" w:rsidRPr="00B9018F">
        <w:rPr>
          <w:sz w:val="24"/>
          <w:szCs w:val="24"/>
        </w:rPr>
        <w:t xml:space="preserve"> </w:t>
      </w:r>
      <w:r w:rsidR="00FA0409" w:rsidRPr="00B9018F">
        <w:rPr>
          <w:sz w:val="24"/>
          <w:szCs w:val="24"/>
        </w:rPr>
        <w:t xml:space="preserve">for example, </w:t>
      </w:r>
      <w:r w:rsidR="00792EB9" w:rsidRPr="00B9018F">
        <w:rPr>
          <w:sz w:val="24"/>
          <w:szCs w:val="24"/>
        </w:rPr>
        <w:t xml:space="preserve">the United States District Court for the Southern District of Mississippi </w:t>
      </w:r>
      <w:r w:rsidR="00FA0409" w:rsidRPr="00B9018F">
        <w:rPr>
          <w:sz w:val="24"/>
          <w:szCs w:val="24"/>
        </w:rPr>
        <w:t>expressed an extreme aversion to plaintiffs</w:t>
      </w:r>
      <w:r w:rsidR="009442FB" w:rsidRPr="00B9018F">
        <w:rPr>
          <w:sz w:val="24"/>
          <w:szCs w:val="24"/>
        </w:rPr>
        <w:t>’</w:t>
      </w:r>
      <w:r w:rsidR="00FA0409" w:rsidRPr="00B9018F">
        <w:rPr>
          <w:sz w:val="24"/>
          <w:szCs w:val="24"/>
        </w:rPr>
        <w:t xml:space="preserve"> claim because of the evidentiary issues inherent in climate change claims:</w:t>
      </w:r>
    </w:p>
    <w:p w14:paraId="551C008E" w14:textId="77777777" w:rsidR="00FA0409" w:rsidRPr="00B9018F" w:rsidRDefault="00FA0409" w:rsidP="00792EB9">
      <w:pPr>
        <w:jc w:val="both"/>
        <w:rPr>
          <w:sz w:val="24"/>
          <w:szCs w:val="24"/>
        </w:rPr>
      </w:pPr>
    </w:p>
    <w:p w14:paraId="6BE08836" w14:textId="72F1FB01" w:rsidR="00FA0409" w:rsidRPr="00B9018F" w:rsidRDefault="00FA0409" w:rsidP="00FA0409">
      <w:pPr>
        <w:ind w:left="720" w:right="720"/>
        <w:jc w:val="both"/>
        <w:rPr>
          <w:sz w:val="24"/>
          <w:szCs w:val="24"/>
        </w:rPr>
      </w:pPr>
      <w:r w:rsidRPr="00B9018F">
        <w:rPr>
          <w:sz w:val="24"/>
          <w:szCs w:val="24"/>
        </w:rPr>
        <w:t>I foresee daunting evidentiary problems for anyone who undertakes to prove, by a preponderance of the evidence, the degree to which global warming is caused by the emission of greenhouse gasses; the degree to which the actions of any individual oil company, any individual chemical company, or the collective action of these corporations contribute, through the emission of greenhouse gasses, to global warming; and the extent to which the emission of greenhouse gasses by these defendants, through the phenomenon of global warming, intensified or otherwise affected the weather system that produced Hurricane Katrina.</w:t>
      </w:r>
      <w:r w:rsidRPr="00B9018F">
        <w:rPr>
          <w:rStyle w:val="FootnoteReference"/>
          <w:sz w:val="24"/>
          <w:szCs w:val="24"/>
        </w:rPr>
        <w:footnoteReference w:id="27"/>
      </w:r>
    </w:p>
    <w:p w14:paraId="1EE11C53" w14:textId="77777777" w:rsidR="00734029" w:rsidRPr="00B9018F" w:rsidRDefault="00734029" w:rsidP="00FA0409">
      <w:pPr>
        <w:ind w:left="720" w:right="720"/>
        <w:jc w:val="both"/>
        <w:rPr>
          <w:sz w:val="24"/>
          <w:szCs w:val="24"/>
        </w:rPr>
      </w:pPr>
    </w:p>
    <w:p w14:paraId="3BA51534" w14:textId="01C85EF3" w:rsidR="00D00A96" w:rsidRPr="00B9018F" w:rsidRDefault="00203ACA" w:rsidP="00715EA1">
      <w:pPr>
        <w:jc w:val="both"/>
        <w:rPr>
          <w:sz w:val="24"/>
          <w:szCs w:val="24"/>
        </w:rPr>
      </w:pPr>
      <w:r w:rsidRPr="00B9018F">
        <w:rPr>
          <w:sz w:val="24"/>
          <w:szCs w:val="24"/>
        </w:rPr>
        <w:tab/>
      </w:r>
      <w:r w:rsidR="00DE2933" w:rsidRPr="00B9018F">
        <w:rPr>
          <w:sz w:val="24"/>
          <w:szCs w:val="24"/>
        </w:rPr>
        <w:t>This attitude reflects the prevailing view that d</w:t>
      </w:r>
      <w:r w:rsidR="00294341" w:rsidRPr="00B9018F">
        <w:rPr>
          <w:sz w:val="24"/>
          <w:szCs w:val="24"/>
        </w:rPr>
        <w:t xml:space="preserve">emonstrating causation in the climate change context </w:t>
      </w:r>
      <w:r w:rsidR="00DE2933" w:rsidRPr="00B9018F">
        <w:rPr>
          <w:sz w:val="24"/>
          <w:szCs w:val="24"/>
        </w:rPr>
        <w:t xml:space="preserve">is virtually impossible. Any theory through </w:t>
      </w:r>
      <w:r w:rsidR="00563586">
        <w:rPr>
          <w:sz w:val="24"/>
          <w:szCs w:val="24"/>
        </w:rPr>
        <w:t>which</w:t>
      </w:r>
      <w:r w:rsidR="00DE2933" w:rsidRPr="00B9018F">
        <w:rPr>
          <w:sz w:val="24"/>
          <w:szCs w:val="24"/>
        </w:rPr>
        <w:t xml:space="preserve"> plaintiffs may meet their burden of </w:t>
      </w:r>
      <w:r w:rsidRPr="00B9018F">
        <w:rPr>
          <w:sz w:val="24"/>
          <w:szCs w:val="24"/>
        </w:rPr>
        <w:t xml:space="preserve">causation </w:t>
      </w:r>
      <w:r w:rsidR="00294341" w:rsidRPr="00B9018F">
        <w:rPr>
          <w:sz w:val="24"/>
          <w:szCs w:val="24"/>
        </w:rPr>
        <w:t xml:space="preserve">would </w:t>
      </w:r>
      <w:r w:rsidR="00DE2933" w:rsidRPr="00B9018F">
        <w:rPr>
          <w:sz w:val="24"/>
          <w:szCs w:val="24"/>
        </w:rPr>
        <w:t xml:space="preserve">likely </w:t>
      </w:r>
      <w:r w:rsidR="00294341" w:rsidRPr="00B9018F">
        <w:rPr>
          <w:sz w:val="24"/>
          <w:szCs w:val="24"/>
        </w:rPr>
        <w:t xml:space="preserve">be so far </w:t>
      </w:r>
      <w:r w:rsidR="00DE2933" w:rsidRPr="00B9018F">
        <w:rPr>
          <w:sz w:val="24"/>
          <w:szCs w:val="24"/>
        </w:rPr>
        <w:t xml:space="preserve">reaching </w:t>
      </w:r>
      <w:r w:rsidR="00294341" w:rsidRPr="00B9018F">
        <w:rPr>
          <w:sz w:val="24"/>
          <w:szCs w:val="24"/>
        </w:rPr>
        <w:t xml:space="preserve">that </w:t>
      </w:r>
      <w:r w:rsidR="00DE2933" w:rsidRPr="00B9018F">
        <w:rPr>
          <w:sz w:val="24"/>
          <w:szCs w:val="24"/>
        </w:rPr>
        <w:t>it would be rejected by many courts</w:t>
      </w:r>
      <w:r w:rsidR="00294341" w:rsidRPr="00B9018F">
        <w:rPr>
          <w:sz w:val="24"/>
          <w:szCs w:val="24"/>
        </w:rPr>
        <w:t xml:space="preserve">. </w:t>
      </w:r>
      <w:r w:rsidR="00DE2933" w:rsidRPr="00B9018F">
        <w:rPr>
          <w:sz w:val="24"/>
          <w:szCs w:val="24"/>
        </w:rPr>
        <w:t>But while there</w:t>
      </w:r>
      <w:r w:rsidRPr="00B9018F">
        <w:rPr>
          <w:sz w:val="24"/>
          <w:szCs w:val="24"/>
        </w:rPr>
        <w:t xml:space="preserve"> is no precedent for proving that a commercial insured actually caused a claimant</w:t>
      </w:r>
      <w:r w:rsidR="009442FB" w:rsidRPr="00B9018F">
        <w:rPr>
          <w:sz w:val="24"/>
          <w:szCs w:val="24"/>
        </w:rPr>
        <w:t>’</w:t>
      </w:r>
      <w:r w:rsidRPr="00B9018F">
        <w:rPr>
          <w:sz w:val="24"/>
          <w:szCs w:val="24"/>
        </w:rPr>
        <w:t>s climate change related damages, future advances in technology may help claimants overcome causation challenges in the climate change context.</w:t>
      </w:r>
      <w:r w:rsidR="006879CF" w:rsidRPr="00B9018F">
        <w:rPr>
          <w:rStyle w:val="FootnoteReference"/>
          <w:sz w:val="24"/>
          <w:szCs w:val="24"/>
        </w:rPr>
        <w:footnoteReference w:id="28"/>
      </w:r>
      <w:r w:rsidRPr="00B9018F">
        <w:rPr>
          <w:sz w:val="24"/>
          <w:szCs w:val="24"/>
        </w:rPr>
        <w:t xml:space="preserve"> </w:t>
      </w:r>
      <w:r w:rsidR="00D00A96" w:rsidRPr="00B9018F">
        <w:rPr>
          <w:sz w:val="24"/>
          <w:szCs w:val="24"/>
        </w:rPr>
        <w:t xml:space="preserve">In this </w:t>
      </w:r>
      <w:r w:rsidR="000F779E" w:rsidRPr="00B9018F">
        <w:rPr>
          <w:sz w:val="24"/>
          <w:szCs w:val="24"/>
        </w:rPr>
        <w:t>respect</w:t>
      </w:r>
      <w:r w:rsidR="00D00A96" w:rsidRPr="00B9018F">
        <w:rPr>
          <w:sz w:val="24"/>
          <w:szCs w:val="24"/>
        </w:rPr>
        <w:t xml:space="preserve">, climate change litigation </w:t>
      </w:r>
      <w:r w:rsidR="000F779E" w:rsidRPr="00B9018F">
        <w:rPr>
          <w:sz w:val="24"/>
          <w:szCs w:val="24"/>
        </w:rPr>
        <w:t xml:space="preserve">largely </w:t>
      </w:r>
      <w:r w:rsidR="00D00A96" w:rsidRPr="00B9018F">
        <w:rPr>
          <w:sz w:val="24"/>
          <w:szCs w:val="24"/>
        </w:rPr>
        <w:t xml:space="preserve">mirrors the development of </w:t>
      </w:r>
      <w:r w:rsidR="000F779E" w:rsidRPr="00B9018F">
        <w:rPr>
          <w:sz w:val="24"/>
          <w:szCs w:val="24"/>
        </w:rPr>
        <w:t xml:space="preserve">other bodies of </w:t>
      </w:r>
      <w:r w:rsidR="006879CF" w:rsidRPr="00B9018F">
        <w:rPr>
          <w:sz w:val="24"/>
          <w:szCs w:val="24"/>
        </w:rPr>
        <w:t xml:space="preserve">mass </w:t>
      </w:r>
      <w:r w:rsidR="00ED535E" w:rsidRPr="00B9018F">
        <w:rPr>
          <w:sz w:val="24"/>
          <w:szCs w:val="24"/>
        </w:rPr>
        <w:t xml:space="preserve">tort </w:t>
      </w:r>
      <w:r w:rsidR="000F779E" w:rsidRPr="00B9018F">
        <w:rPr>
          <w:sz w:val="24"/>
          <w:szCs w:val="24"/>
        </w:rPr>
        <w:t xml:space="preserve">litigation that historically faced similar obstacles </w:t>
      </w:r>
      <w:r w:rsidR="00597B69" w:rsidRPr="00B9018F">
        <w:rPr>
          <w:sz w:val="24"/>
          <w:szCs w:val="24"/>
        </w:rPr>
        <w:t>related to causation, including, for example, asbestos litigation</w:t>
      </w:r>
      <w:r w:rsidR="00ED535E" w:rsidRPr="00B9018F">
        <w:rPr>
          <w:sz w:val="24"/>
          <w:szCs w:val="24"/>
        </w:rPr>
        <w:t>.</w:t>
      </w:r>
      <w:r w:rsidR="00715EA1" w:rsidRPr="00B9018F">
        <w:rPr>
          <w:sz w:val="24"/>
          <w:szCs w:val="24"/>
        </w:rPr>
        <w:t xml:space="preserve"> </w:t>
      </w:r>
      <w:r w:rsidR="009F087C" w:rsidRPr="00B9018F">
        <w:rPr>
          <w:sz w:val="24"/>
          <w:szCs w:val="24"/>
        </w:rPr>
        <w:t>Early asbestos claimants frequently encountered the problem that they had been exposed to asbestos many years prior to presenting symptoms of disease</w:t>
      </w:r>
      <w:r w:rsidR="00FD4D38" w:rsidRPr="00B9018F">
        <w:rPr>
          <w:sz w:val="24"/>
          <w:szCs w:val="24"/>
        </w:rPr>
        <w:t>. T</w:t>
      </w:r>
      <w:r w:rsidR="00AE27CA" w:rsidRPr="00B9018F">
        <w:rPr>
          <w:sz w:val="24"/>
          <w:szCs w:val="24"/>
        </w:rPr>
        <w:t>hey were unable to prove with precision how much exposure they received from any</w:t>
      </w:r>
      <w:r w:rsidR="006879CF" w:rsidRPr="00B9018F">
        <w:rPr>
          <w:sz w:val="24"/>
          <w:szCs w:val="24"/>
        </w:rPr>
        <w:t xml:space="preserve"> particular defendant</w:t>
      </w:r>
      <w:r w:rsidR="009442FB" w:rsidRPr="00B9018F">
        <w:rPr>
          <w:sz w:val="24"/>
          <w:szCs w:val="24"/>
        </w:rPr>
        <w:t>’</w:t>
      </w:r>
      <w:r w:rsidR="006879CF" w:rsidRPr="00B9018F">
        <w:rPr>
          <w:sz w:val="24"/>
          <w:szCs w:val="24"/>
        </w:rPr>
        <w:t>s product, and courts strugg</w:t>
      </w:r>
      <w:r w:rsidR="00F131C7">
        <w:rPr>
          <w:sz w:val="24"/>
          <w:szCs w:val="24"/>
        </w:rPr>
        <w:t>l</w:t>
      </w:r>
      <w:r w:rsidR="006879CF" w:rsidRPr="00B9018F">
        <w:rPr>
          <w:sz w:val="24"/>
          <w:szCs w:val="24"/>
        </w:rPr>
        <w:t>ed to formulate causation rules</w:t>
      </w:r>
      <w:r w:rsidR="00563586">
        <w:rPr>
          <w:sz w:val="24"/>
          <w:szCs w:val="24"/>
        </w:rPr>
        <w:t xml:space="preserve"> in light of those issues</w:t>
      </w:r>
      <w:r w:rsidR="006879CF" w:rsidRPr="00B9018F">
        <w:rPr>
          <w:sz w:val="24"/>
          <w:szCs w:val="24"/>
        </w:rPr>
        <w:t xml:space="preserve">. Novel expert testimony and scientific advances eventually helped courts </w:t>
      </w:r>
      <w:r w:rsidR="00681873">
        <w:rPr>
          <w:sz w:val="24"/>
          <w:szCs w:val="24"/>
        </w:rPr>
        <w:t>develop a framework to address the issue of causation in that context</w:t>
      </w:r>
      <w:r w:rsidR="006879CF" w:rsidRPr="00B9018F">
        <w:rPr>
          <w:sz w:val="24"/>
          <w:szCs w:val="24"/>
        </w:rPr>
        <w:t>.</w:t>
      </w:r>
      <w:r w:rsidR="00AE27CA" w:rsidRPr="00B9018F">
        <w:rPr>
          <w:sz w:val="24"/>
          <w:szCs w:val="24"/>
        </w:rPr>
        <w:t xml:space="preserve"> </w:t>
      </w:r>
      <w:r w:rsidR="00B91FA6" w:rsidRPr="00B9018F">
        <w:rPr>
          <w:sz w:val="24"/>
          <w:szCs w:val="24"/>
        </w:rPr>
        <w:t>Generally, causation depends upon the test used by the specific jurisdiction to prove an actual causal connection between the defendant</w:t>
      </w:r>
      <w:r w:rsidR="009442FB" w:rsidRPr="00B9018F">
        <w:rPr>
          <w:sz w:val="24"/>
          <w:szCs w:val="24"/>
        </w:rPr>
        <w:t>’</w:t>
      </w:r>
      <w:r w:rsidR="00B91FA6" w:rsidRPr="00B9018F">
        <w:rPr>
          <w:sz w:val="24"/>
          <w:szCs w:val="24"/>
        </w:rPr>
        <w:t>s conduct and the resulting harm. However, the prevailing rule</w:t>
      </w:r>
      <w:r w:rsidR="00764B32" w:rsidRPr="00B9018F">
        <w:rPr>
          <w:sz w:val="24"/>
          <w:szCs w:val="24"/>
        </w:rPr>
        <w:t xml:space="preserve"> now requires that toxic tort plaintiffs show that the actions of one or more individual defendant were a substantial factor in causing their injury.</w:t>
      </w:r>
      <w:r w:rsidR="00764B32" w:rsidRPr="00B9018F">
        <w:rPr>
          <w:rStyle w:val="FootnoteReference"/>
          <w:sz w:val="24"/>
          <w:szCs w:val="24"/>
        </w:rPr>
        <w:footnoteReference w:id="29"/>
      </w:r>
    </w:p>
    <w:p w14:paraId="563710A1" w14:textId="77777777" w:rsidR="00B91FA6" w:rsidRPr="00B9018F" w:rsidRDefault="00B91FA6" w:rsidP="00715EA1">
      <w:pPr>
        <w:jc w:val="both"/>
        <w:rPr>
          <w:sz w:val="24"/>
          <w:szCs w:val="24"/>
        </w:rPr>
      </w:pPr>
    </w:p>
    <w:p w14:paraId="0391BBAC" w14:textId="5B7948FB" w:rsidR="00AA0F72" w:rsidRPr="00B9018F" w:rsidRDefault="00507D27" w:rsidP="002229BD">
      <w:pPr>
        <w:jc w:val="both"/>
        <w:rPr>
          <w:sz w:val="24"/>
          <w:szCs w:val="24"/>
        </w:rPr>
      </w:pPr>
      <w:r w:rsidRPr="00B9018F">
        <w:rPr>
          <w:sz w:val="24"/>
          <w:szCs w:val="24"/>
        </w:rPr>
        <w:tab/>
      </w:r>
      <w:r w:rsidR="00B91FA6" w:rsidRPr="00B9018F">
        <w:rPr>
          <w:sz w:val="24"/>
          <w:szCs w:val="24"/>
        </w:rPr>
        <w:t>Although a</w:t>
      </w:r>
      <w:r w:rsidR="00AA03A0" w:rsidRPr="00B9018F">
        <w:rPr>
          <w:sz w:val="24"/>
          <w:szCs w:val="24"/>
        </w:rPr>
        <w:t xml:space="preserve"> claimant</w:t>
      </w:r>
      <w:r w:rsidR="009442FB" w:rsidRPr="00B9018F">
        <w:rPr>
          <w:sz w:val="24"/>
          <w:szCs w:val="24"/>
        </w:rPr>
        <w:t>’</w:t>
      </w:r>
      <w:r w:rsidR="00AA03A0" w:rsidRPr="00B9018F">
        <w:rPr>
          <w:sz w:val="24"/>
          <w:szCs w:val="24"/>
        </w:rPr>
        <w:t>s inability to prove causation has historically been seen as the death knell for climate change claims</w:t>
      </w:r>
      <w:r w:rsidR="00B91FA6" w:rsidRPr="00B9018F">
        <w:rPr>
          <w:sz w:val="24"/>
          <w:szCs w:val="24"/>
        </w:rPr>
        <w:t xml:space="preserve">, some </w:t>
      </w:r>
      <w:r w:rsidR="00AA03A0" w:rsidRPr="00B9018F">
        <w:rPr>
          <w:sz w:val="24"/>
          <w:szCs w:val="24"/>
        </w:rPr>
        <w:t>courts have demonstrated an increasin</w:t>
      </w:r>
      <w:r w:rsidR="000A338B" w:rsidRPr="00B9018F">
        <w:rPr>
          <w:sz w:val="24"/>
          <w:szCs w:val="24"/>
        </w:rPr>
        <w:t>g</w:t>
      </w:r>
      <w:r w:rsidR="00AA03A0" w:rsidRPr="00B9018F">
        <w:rPr>
          <w:sz w:val="24"/>
          <w:szCs w:val="24"/>
        </w:rPr>
        <w:t xml:space="preserve"> willingness to recognize causation in </w:t>
      </w:r>
      <w:r w:rsidR="00425594" w:rsidRPr="00B9018F">
        <w:rPr>
          <w:sz w:val="24"/>
          <w:szCs w:val="24"/>
        </w:rPr>
        <w:t>this context as public attitudes shift and the science used to support climate change claims continue</w:t>
      </w:r>
      <w:r w:rsidR="00BC0D24" w:rsidRPr="00B9018F">
        <w:rPr>
          <w:sz w:val="24"/>
          <w:szCs w:val="24"/>
        </w:rPr>
        <w:t>s</w:t>
      </w:r>
      <w:r w:rsidR="00425594" w:rsidRPr="00B9018F">
        <w:rPr>
          <w:sz w:val="24"/>
          <w:szCs w:val="24"/>
        </w:rPr>
        <w:t xml:space="preserve"> to evolve. Recent trends suggest that the threshold barriers of standing and causation will alone be insufficient for an insured to escape liability in climate change claims.</w:t>
      </w:r>
      <w:r w:rsidR="000A338B" w:rsidRPr="00B9018F">
        <w:rPr>
          <w:sz w:val="24"/>
          <w:szCs w:val="24"/>
        </w:rPr>
        <w:t xml:space="preserve"> In light of this shifting landscape, insurers must be prepared to grapple with traditional insurance coverage issues in </w:t>
      </w:r>
      <w:r w:rsidR="00681873">
        <w:rPr>
          <w:sz w:val="24"/>
          <w:szCs w:val="24"/>
        </w:rPr>
        <w:t>the context of these new claims</w:t>
      </w:r>
      <w:r w:rsidR="000A338B" w:rsidRPr="00B9018F">
        <w:rPr>
          <w:sz w:val="24"/>
          <w:szCs w:val="24"/>
        </w:rPr>
        <w:t>.</w:t>
      </w:r>
      <w:r w:rsidR="009442FB" w:rsidRPr="00B9018F">
        <w:rPr>
          <w:sz w:val="24"/>
          <w:szCs w:val="24"/>
        </w:rPr>
        <w:t xml:space="preserve"> </w:t>
      </w:r>
    </w:p>
    <w:p w14:paraId="691DC235" w14:textId="77777777" w:rsidR="00D26FBA" w:rsidRPr="00B9018F" w:rsidRDefault="00D26FBA" w:rsidP="00D26FBA">
      <w:pPr>
        <w:jc w:val="both"/>
        <w:rPr>
          <w:b/>
          <w:sz w:val="24"/>
          <w:szCs w:val="24"/>
        </w:rPr>
      </w:pPr>
    </w:p>
    <w:p w14:paraId="504C70FE" w14:textId="30F6AA67" w:rsidR="0091516C" w:rsidRPr="00B9018F" w:rsidRDefault="0091516C" w:rsidP="0091516C">
      <w:pPr>
        <w:jc w:val="both"/>
        <w:rPr>
          <w:b/>
          <w:sz w:val="24"/>
          <w:szCs w:val="24"/>
        </w:rPr>
      </w:pPr>
      <w:r w:rsidRPr="00B9018F">
        <w:rPr>
          <w:b/>
          <w:sz w:val="24"/>
          <w:szCs w:val="24"/>
        </w:rPr>
        <w:t>(2)</w:t>
      </w:r>
      <w:r w:rsidRPr="00B9018F">
        <w:rPr>
          <w:b/>
          <w:sz w:val="24"/>
          <w:szCs w:val="24"/>
        </w:rPr>
        <w:tab/>
      </w:r>
      <w:r w:rsidR="00E07BC2" w:rsidRPr="00B9018F">
        <w:rPr>
          <w:b/>
          <w:sz w:val="24"/>
          <w:szCs w:val="24"/>
        </w:rPr>
        <w:t>Was</w:t>
      </w:r>
      <w:r w:rsidRPr="00B9018F">
        <w:rPr>
          <w:b/>
          <w:sz w:val="24"/>
          <w:szCs w:val="24"/>
        </w:rPr>
        <w:t xml:space="preserve"> the damage caused by an occurrence?</w:t>
      </w:r>
    </w:p>
    <w:p w14:paraId="070645F6" w14:textId="77777777" w:rsidR="000A338B" w:rsidRPr="00B9018F" w:rsidRDefault="000A338B" w:rsidP="00386D58">
      <w:pPr>
        <w:ind w:firstLine="720"/>
        <w:jc w:val="both"/>
        <w:rPr>
          <w:sz w:val="24"/>
          <w:szCs w:val="24"/>
        </w:rPr>
      </w:pPr>
    </w:p>
    <w:p w14:paraId="3E693706" w14:textId="341FA565" w:rsidR="00386D58" w:rsidRPr="00B9018F" w:rsidRDefault="00397887" w:rsidP="00386D58">
      <w:pPr>
        <w:ind w:firstLine="720"/>
        <w:jc w:val="both"/>
        <w:rPr>
          <w:sz w:val="24"/>
          <w:szCs w:val="24"/>
        </w:rPr>
      </w:pPr>
      <w:r w:rsidRPr="00B9018F">
        <w:rPr>
          <w:sz w:val="24"/>
          <w:szCs w:val="24"/>
        </w:rPr>
        <w:t>CGL and certain other environmental policies</w:t>
      </w:r>
      <w:r>
        <w:rPr>
          <w:sz w:val="24"/>
          <w:szCs w:val="24"/>
        </w:rPr>
        <w:t xml:space="preserve"> generally</w:t>
      </w:r>
      <w:r w:rsidRPr="00B9018F">
        <w:rPr>
          <w:sz w:val="24"/>
          <w:szCs w:val="24"/>
        </w:rPr>
        <w:t xml:space="preserve"> apply only to accidental injury. </w:t>
      </w:r>
      <w:r w:rsidR="00563586">
        <w:rPr>
          <w:sz w:val="24"/>
          <w:szCs w:val="24"/>
        </w:rPr>
        <w:t>CGL policies</w:t>
      </w:r>
      <w:r>
        <w:rPr>
          <w:sz w:val="24"/>
          <w:szCs w:val="24"/>
        </w:rPr>
        <w:t>, for example,</w:t>
      </w:r>
      <w:r w:rsidR="00563586">
        <w:rPr>
          <w:sz w:val="24"/>
          <w:szCs w:val="24"/>
        </w:rPr>
        <w:t xml:space="preserve"> require that a </w:t>
      </w:r>
      <w:r w:rsidR="00003047" w:rsidRPr="00B9018F">
        <w:rPr>
          <w:sz w:val="24"/>
          <w:szCs w:val="24"/>
        </w:rPr>
        <w:t>claimant</w:t>
      </w:r>
      <w:r w:rsidR="009442FB" w:rsidRPr="00B9018F">
        <w:rPr>
          <w:sz w:val="24"/>
          <w:szCs w:val="24"/>
        </w:rPr>
        <w:t>’</w:t>
      </w:r>
      <w:r w:rsidR="00003047" w:rsidRPr="00B9018F">
        <w:rPr>
          <w:sz w:val="24"/>
          <w:szCs w:val="24"/>
        </w:rPr>
        <w:t xml:space="preserve">s alleged </w:t>
      </w:r>
      <w:r w:rsidR="009442FB" w:rsidRPr="00B9018F">
        <w:rPr>
          <w:sz w:val="24"/>
          <w:szCs w:val="24"/>
        </w:rPr>
        <w:t>“</w:t>
      </w:r>
      <w:r w:rsidR="00DA5F4F" w:rsidRPr="00B9018F">
        <w:rPr>
          <w:sz w:val="24"/>
          <w:szCs w:val="24"/>
        </w:rPr>
        <w:t>bodily injury</w:t>
      </w:r>
      <w:r w:rsidR="009442FB" w:rsidRPr="00B9018F">
        <w:rPr>
          <w:sz w:val="24"/>
          <w:szCs w:val="24"/>
        </w:rPr>
        <w:t>”</w:t>
      </w:r>
      <w:r w:rsidR="00DA5F4F" w:rsidRPr="00B9018F">
        <w:rPr>
          <w:sz w:val="24"/>
          <w:szCs w:val="24"/>
        </w:rPr>
        <w:t xml:space="preserve"> or </w:t>
      </w:r>
      <w:r w:rsidR="009442FB" w:rsidRPr="00B9018F">
        <w:rPr>
          <w:sz w:val="24"/>
          <w:szCs w:val="24"/>
        </w:rPr>
        <w:t>“</w:t>
      </w:r>
      <w:r w:rsidR="00DA5F4F" w:rsidRPr="00B9018F">
        <w:rPr>
          <w:sz w:val="24"/>
          <w:szCs w:val="24"/>
        </w:rPr>
        <w:t>property damage</w:t>
      </w:r>
      <w:r w:rsidR="009442FB" w:rsidRPr="00B9018F">
        <w:rPr>
          <w:sz w:val="24"/>
          <w:szCs w:val="24"/>
        </w:rPr>
        <w:t>”</w:t>
      </w:r>
      <w:r w:rsidR="00003047" w:rsidRPr="00B9018F">
        <w:rPr>
          <w:sz w:val="24"/>
          <w:szCs w:val="24"/>
        </w:rPr>
        <w:t xml:space="preserve"> </w:t>
      </w:r>
      <w:r w:rsidR="00D5672E" w:rsidRPr="00B9018F">
        <w:rPr>
          <w:sz w:val="24"/>
          <w:szCs w:val="24"/>
        </w:rPr>
        <w:t xml:space="preserve">be caused </w:t>
      </w:r>
      <w:r w:rsidR="00003047" w:rsidRPr="00B9018F">
        <w:rPr>
          <w:sz w:val="24"/>
          <w:szCs w:val="24"/>
        </w:rPr>
        <w:t xml:space="preserve">by an </w:t>
      </w:r>
      <w:r w:rsidR="009442FB" w:rsidRPr="00B9018F">
        <w:rPr>
          <w:sz w:val="24"/>
          <w:szCs w:val="24"/>
        </w:rPr>
        <w:t>“</w:t>
      </w:r>
      <w:r w:rsidR="00003047" w:rsidRPr="00B9018F">
        <w:rPr>
          <w:sz w:val="24"/>
          <w:szCs w:val="24"/>
        </w:rPr>
        <w:t>occurrence</w:t>
      </w:r>
      <w:r w:rsidR="00A240F2" w:rsidRPr="00B9018F">
        <w:rPr>
          <w:sz w:val="24"/>
          <w:szCs w:val="24"/>
        </w:rPr>
        <w:t>,</w:t>
      </w:r>
      <w:r w:rsidR="009442FB" w:rsidRPr="00B9018F">
        <w:rPr>
          <w:sz w:val="24"/>
          <w:szCs w:val="24"/>
        </w:rPr>
        <w:t>”</w:t>
      </w:r>
      <w:r w:rsidR="00A240F2" w:rsidRPr="00B9018F">
        <w:rPr>
          <w:sz w:val="24"/>
          <w:szCs w:val="24"/>
        </w:rPr>
        <w:t xml:space="preserve"> which is </w:t>
      </w:r>
      <w:r w:rsidR="00D5672E" w:rsidRPr="00B9018F">
        <w:rPr>
          <w:sz w:val="24"/>
          <w:szCs w:val="24"/>
        </w:rPr>
        <w:t xml:space="preserve">traditionally </w:t>
      </w:r>
      <w:r w:rsidR="00A240F2" w:rsidRPr="00B9018F">
        <w:rPr>
          <w:sz w:val="24"/>
          <w:szCs w:val="24"/>
        </w:rPr>
        <w:t xml:space="preserve">defined as </w:t>
      </w:r>
      <w:r w:rsidR="009442FB" w:rsidRPr="00B9018F">
        <w:rPr>
          <w:sz w:val="24"/>
          <w:szCs w:val="24"/>
        </w:rPr>
        <w:t>“</w:t>
      </w:r>
      <w:r w:rsidR="00A240F2" w:rsidRPr="00B9018F">
        <w:rPr>
          <w:sz w:val="24"/>
          <w:szCs w:val="24"/>
        </w:rPr>
        <w:t>an accident, including continuous or repeated exposure to the same general harmful conditions.</w:t>
      </w:r>
      <w:r w:rsidR="009442FB" w:rsidRPr="00B9018F">
        <w:rPr>
          <w:sz w:val="24"/>
          <w:szCs w:val="24"/>
        </w:rPr>
        <w:t>”</w:t>
      </w:r>
      <w:r w:rsidR="00003047" w:rsidRPr="00B9018F">
        <w:rPr>
          <w:sz w:val="24"/>
          <w:szCs w:val="24"/>
        </w:rPr>
        <w:t xml:space="preserve"> </w:t>
      </w:r>
      <w:r>
        <w:rPr>
          <w:sz w:val="24"/>
          <w:szCs w:val="24"/>
        </w:rPr>
        <w:t>T</w:t>
      </w:r>
      <w:r w:rsidRPr="00B9018F">
        <w:rPr>
          <w:sz w:val="24"/>
          <w:szCs w:val="24"/>
        </w:rPr>
        <w:t xml:space="preserve">he same requirement is </w:t>
      </w:r>
      <w:r>
        <w:rPr>
          <w:sz w:val="24"/>
          <w:szCs w:val="24"/>
        </w:rPr>
        <w:t xml:space="preserve">typically </w:t>
      </w:r>
      <w:r w:rsidRPr="00B9018F">
        <w:rPr>
          <w:sz w:val="24"/>
          <w:szCs w:val="24"/>
        </w:rPr>
        <w:t xml:space="preserve">included in </w:t>
      </w:r>
      <w:r>
        <w:rPr>
          <w:sz w:val="24"/>
          <w:szCs w:val="24"/>
        </w:rPr>
        <w:t>insuring agreements for</w:t>
      </w:r>
      <w:r w:rsidRPr="00B9018F">
        <w:rPr>
          <w:sz w:val="24"/>
          <w:szCs w:val="24"/>
        </w:rPr>
        <w:t xml:space="preserve"> contractors pollution liability coverage, which requires </w:t>
      </w:r>
      <w:r>
        <w:rPr>
          <w:sz w:val="24"/>
          <w:szCs w:val="24"/>
        </w:rPr>
        <w:t>that</w:t>
      </w:r>
      <w:r w:rsidRPr="00B9018F">
        <w:rPr>
          <w:sz w:val="24"/>
          <w:szCs w:val="24"/>
        </w:rPr>
        <w:t xml:space="preserve"> damages for “bodily injury” or “property damage” resulting from a “pollution condition” </w:t>
      </w:r>
      <w:r>
        <w:rPr>
          <w:sz w:val="24"/>
          <w:szCs w:val="24"/>
        </w:rPr>
        <w:t>be</w:t>
      </w:r>
      <w:r w:rsidRPr="00B9018F">
        <w:rPr>
          <w:sz w:val="24"/>
          <w:szCs w:val="24"/>
        </w:rPr>
        <w:t xml:space="preserve"> caused by an “occurrence.” </w:t>
      </w:r>
      <w:r w:rsidR="00DA1566" w:rsidRPr="00B9018F">
        <w:rPr>
          <w:sz w:val="24"/>
          <w:szCs w:val="24"/>
        </w:rPr>
        <w:t>EIL policies</w:t>
      </w:r>
      <w:r w:rsidR="00563586">
        <w:rPr>
          <w:sz w:val="24"/>
          <w:szCs w:val="24"/>
        </w:rPr>
        <w:t>, by comparison,</w:t>
      </w:r>
      <w:r w:rsidR="00DA1566" w:rsidRPr="00B9018F">
        <w:rPr>
          <w:sz w:val="24"/>
          <w:szCs w:val="24"/>
        </w:rPr>
        <w:t xml:space="preserve"> </w:t>
      </w:r>
      <w:r w:rsidR="00905A1C" w:rsidRPr="00B9018F">
        <w:rPr>
          <w:sz w:val="24"/>
          <w:szCs w:val="24"/>
        </w:rPr>
        <w:t xml:space="preserve">usually </w:t>
      </w:r>
      <w:r w:rsidR="00DA1566" w:rsidRPr="00B9018F">
        <w:rPr>
          <w:sz w:val="24"/>
          <w:szCs w:val="24"/>
        </w:rPr>
        <w:t>do not require that the claimant</w:t>
      </w:r>
      <w:r w:rsidR="009442FB" w:rsidRPr="00B9018F">
        <w:rPr>
          <w:sz w:val="24"/>
          <w:szCs w:val="24"/>
        </w:rPr>
        <w:t>’</w:t>
      </w:r>
      <w:r w:rsidR="00DA1566" w:rsidRPr="00B9018F">
        <w:rPr>
          <w:sz w:val="24"/>
          <w:szCs w:val="24"/>
        </w:rPr>
        <w:t xml:space="preserve">s injury be caused by an </w:t>
      </w:r>
      <w:r w:rsidR="009442FB" w:rsidRPr="00B9018F">
        <w:rPr>
          <w:sz w:val="24"/>
          <w:szCs w:val="24"/>
        </w:rPr>
        <w:t>“</w:t>
      </w:r>
      <w:r w:rsidR="00DA1566" w:rsidRPr="00B9018F">
        <w:rPr>
          <w:sz w:val="24"/>
          <w:szCs w:val="24"/>
        </w:rPr>
        <w:t>occurrence</w:t>
      </w:r>
      <w:r>
        <w:rPr>
          <w:sz w:val="24"/>
          <w:szCs w:val="24"/>
        </w:rPr>
        <w:t xml:space="preserve">.” Many claimants asserting liability against insureds for </w:t>
      </w:r>
      <w:r w:rsidR="00C649D6" w:rsidRPr="00B9018F">
        <w:rPr>
          <w:sz w:val="24"/>
          <w:szCs w:val="24"/>
        </w:rPr>
        <w:t>damages allegedly arising</w:t>
      </w:r>
      <w:r w:rsidR="00962B84" w:rsidRPr="00B9018F">
        <w:rPr>
          <w:sz w:val="24"/>
          <w:szCs w:val="24"/>
        </w:rPr>
        <w:t xml:space="preserve"> out of climate change </w:t>
      </w:r>
      <w:r>
        <w:rPr>
          <w:sz w:val="24"/>
          <w:szCs w:val="24"/>
        </w:rPr>
        <w:t>concern</w:t>
      </w:r>
      <w:r w:rsidR="00C649D6" w:rsidRPr="00B9018F">
        <w:rPr>
          <w:sz w:val="24"/>
          <w:szCs w:val="24"/>
        </w:rPr>
        <w:t xml:space="preserve"> a</w:t>
      </w:r>
      <w:r w:rsidR="00962B84" w:rsidRPr="00B9018F">
        <w:rPr>
          <w:sz w:val="24"/>
          <w:szCs w:val="24"/>
        </w:rPr>
        <w:t xml:space="preserve">n </w:t>
      </w:r>
      <w:r w:rsidR="00C649D6" w:rsidRPr="00B9018F">
        <w:rPr>
          <w:sz w:val="24"/>
          <w:szCs w:val="24"/>
        </w:rPr>
        <w:t>insured</w:t>
      </w:r>
      <w:r w:rsidR="009442FB" w:rsidRPr="00B9018F">
        <w:rPr>
          <w:sz w:val="24"/>
          <w:szCs w:val="24"/>
        </w:rPr>
        <w:t>’</w:t>
      </w:r>
      <w:r w:rsidR="00C649D6" w:rsidRPr="00B9018F">
        <w:rPr>
          <w:sz w:val="24"/>
          <w:szCs w:val="24"/>
        </w:rPr>
        <w:t xml:space="preserve">s intentional emissions as part of their standard business practices, posing the question: Can a </w:t>
      </w:r>
      <w:r w:rsidR="00306D8B" w:rsidRPr="00B9018F">
        <w:rPr>
          <w:sz w:val="24"/>
          <w:szCs w:val="24"/>
        </w:rPr>
        <w:t>claim</w:t>
      </w:r>
      <w:r w:rsidR="00C649D6" w:rsidRPr="00B9018F">
        <w:rPr>
          <w:sz w:val="24"/>
          <w:szCs w:val="24"/>
        </w:rPr>
        <w:t xml:space="preserve"> sounding in climate change ever involve accidental injury? </w:t>
      </w:r>
    </w:p>
    <w:p w14:paraId="6570A79C" w14:textId="77777777" w:rsidR="00386D58" w:rsidRPr="00B9018F" w:rsidRDefault="00386D58" w:rsidP="00386D58">
      <w:pPr>
        <w:ind w:firstLine="720"/>
        <w:jc w:val="both"/>
        <w:rPr>
          <w:sz w:val="24"/>
          <w:szCs w:val="24"/>
        </w:rPr>
      </w:pPr>
    </w:p>
    <w:p w14:paraId="760CE650" w14:textId="09253CC6" w:rsidR="00D770C2" w:rsidRPr="00B9018F" w:rsidRDefault="00E07075" w:rsidP="00386D58">
      <w:pPr>
        <w:ind w:firstLine="720"/>
        <w:jc w:val="both"/>
        <w:rPr>
          <w:color w:val="000000"/>
          <w:sz w:val="24"/>
          <w:szCs w:val="24"/>
        </w:rPr>
      </w:pPr>
      <w:r w:rsidRPr="00B9018F">
        <w:rPr>
          <w:sz w:val="24"/>
          <w:szCs w:val="24"/>
        </w:rPr>
        <w:t xml:space="preserve">Consider, for example, the view embodied by the </w:t>
      </w:r>
      <w:r w:rsidRPr="00B9018F">
        <w:rPr>
          <w:color w:val="000000"/>
          <w:sz w:val="24"/>
          <w:szCs w:val="24"/>
        </w:rPr>
        <w:t xml:space="preserve">United States District Court for the Southern District of Mississippi in </w:t>
      </w:r>
      <w:r w:rsidRPr="00B9018F">
        <w:rPr>
          <w:i/>
          <w:sz w:val="24"/>
          <w:szCs w:val="24"/>
        </w:rPr>
        <w:t>U.S. Fid. &amp; Guar. Co. v. T.K. Stanley, Inc.</w:t>
      </w:r>
      <w:r w:rsidRPr="00B9018F">
        <w:rPr>
          <w:rStyle w:val="FootnoteReference"/>
          <w:sz w:val="24"/>
          <w:szCs w:val="24"/>
        </w:rPr>
        <w:footnoteReference w:id="30"/>
      </w:r>
      <w:r w:rsidRPr="00B9018F">
        <w:rPr>
          <w:color w:val="000000"/>
          <w:sz w:val="24"/>
          <w:szCs w:val="24"/>
        </w:rPr>
        <w:t xml:space="preserve"> </w:t>
      </w:r>
      <w:r w:rsidRPr="00B9018F">
        <w:rPr>
          <w:i/>
          <w:color w:val="000000"/>
          <w:sz w:val="24"/>
          <w:szCs w:val="24"/>
        </w:rPr>
        <w:t xml:space="preserve">T.K. Stanley </w:t>
      </w:r>
      <w:r w:rsidRPr="00B9018F">
        <w:rPr>
          <w:sz w:val="24"/>
          <w:szCs w:val="24"/>
        </w:rPr>
        <w:t xml:space="preserve">concerned </w:t>
      </w:r>
      <w:r w:rsidR="00C147A5" w:rsidRPr="00B9018F">
        <w:rPr>
          <w:color w:val="000000"/>
          <w:sz w:val="24"/>
          <w:szCs w:val="24"/>
        </w:rPr>
        <w:t xml:space="preserve">whether </w:t>
      </w:r>
      <w:r w:rsidRPr="00B9018F">
        <w:rPr>
          <w:color w:val="000000"/>
          <w:sz w:val="24"/>
          <w:szCs w:val="24"/>
        </w:rPr>
        <w:t xml:space="preserve">a </w:t>
      </w:r>
      <w:r w:rsidR="00C147A5" w:rsidRPr="00B9018F">
        <w:rPr>
          <w:color w:val="000000"/>
          <w:sz w:val="24"/>
          <w:szCs w:val="24"/>
        </w:rPr>
        <w:t>defendant</w:t>
      </w:r>
      <w:r w:rsidR="009442FB" w:rsidRPr="00B9018F">
        <w:rPr>
          <w:color w:val="000000"/>
          <w:sz w:val="24"/>
          <w:szCs w:val="24"/>
        </w:rPr>
        <w:t>’</w:t>
      </w:r>
      <w:r w:rsidR="00C147A5" w:rsidRPr="00B9018F">
        <w:rPr>
          <w:color w:val="000000"/>
          <w:sz w:val="24"/>
          <w:szCs w:val="24"/>
        </w:rPr>
        <w:t xml:space="preserve">s emission of hydrogen sulfide gas </w:t>
      </w:r>
      <w:r w:rsidRPr="00B9018F">
        <w:rPr>
          <w:color w:val="000000"/>
          <w:sz w:val="24"/>
          <w:szCs w:val="24"/>
        </w:rPr>
        <w:t xml:space="preserve">as part of its regular </w:t>
      </w:r>
      <w:r w:rsidR="00C147A5" w:rsidRPr="00B9018F">
        <w:rPr>
          <w:color w:val="000000"/>
          <w:sz w:val="24"/>
          <w:szCs w:val="24"/>
        </w:rPr>
        <w:t xml:space="preserve">wastewater disposal was an </w:t>
      </w:r>
      <w:r w:rsidR="009442FB" w:rsidRPr="00B9018F">
        <w:rPr>
          <w:color w:val="000000"/>
          <w:sz w:val="24"/>
          <w:szCs w:val="24"/>
        </w:rPr>
        <w:t>“</w:t>
      </w:r>
      <w:r w:rsidR="00C147A5" w:rsidRPr="00B9018F">
        <w:rPr>
          <w:color w:val="000000"/>
          <w:sz w:val="24"/>
          <w:szCs w:val="24"/>
        </w:rPr>
        <w:t>occurrence</w:t>
      </w:r>
      <w:r w:rsidR="009442FB" w:rsidRPr="00B9018F">
        <w:rPr>
          <w:color w:val="000000"/>
          <w:sz w:val="24"/>
          <w:szCs w:val="24"/>
        </w:rPr>
        <w:t>”</w:t>
      </w:r>
      <w:r w:rsidR="008357BD" w:rsidRPr="00B9018F">
        <w:rPr>
          <w:color w:val="000000"/>
          <w:sz w:val="24"/>
          <w:szCs w:val="24"/>
        </w:rPr>
        <w:t xml:space="preserve"> that caused </w:t>
      </w:r>
      <w:r w:rsidR="00C147A5" w:rsidRPr="00B9018F">
        <w:rPr>
          <w:color w:val="000000"/>
          <w:sz w:val="24"/>
          <w:szCs w:val="24"/>
        </w:rPr>
        <w:t>p</w:t>
      </w:r>
      <w:r w:rsidR="00386D58" w:rsidRPr="00B9018F">
        <w:rPr>
          <w:color w:val="000000"/>
          <w:sz w:val="24"/>
          <w:szCs w:val="24"/>
        </w:rPr>
        <w:t>laintiff</w:t>
      </w:r>
      <w:r w:rsidR="009442FB" w:rsidRPr="00B9018F">
        <w:rPr>
          <w:color w:val="000000"/>
          <w:sz w:val="24"/>
          <w:szCs w:val="24"/>
        </w:rPr>
        <w:t>’</w:t>
      </w:r>
      <w:r w:rsidR="00386D58" w:rsidRPr="00B9018F">
        <w:rPr>
          <w:color w:val="000000"/>
          <w:sz w:val="24"/>
          <w:szCs w:val="24"/>
        </w:rPr>
        <w:t xml:space="preserve">s </w:t>
      </w:r>
      <w:r w:rsidR="008357BD" w:rsidRPr="00B9018F">
        <w:rPr>
          <w:color w:val="000000"/>
          <w:sz w:val="24"/>
          <w:szCs w:val="24"/>
        </w:rPr>
        <w:t xml:space="preserve">alleged </w:t>
      </w:r>
      <w:r w:rsidR="00386D58" w:rsidRPr="00B9018F">
        <w:rPr>
          <w:color w:val="000000"/>
          <w:sz w:val="24"/>
          <w:szCs w:val="24"/>
        </w:rPr>
        <w:t>injuries</w:t>
      </w:r>
      <w:r w:rsidR="008357BD" w:rsidRPr="00B9018F">
        <w:rPr>
          <w:color w:val="000000"/>
          <w:sz w:val="24"/>
          <w:szCs w:val="24"/>
        </w:rPr>
        <w:t>.</w:t>
      </w:r>
      <w:r w:rsidR="008357BD" w:rsidRPr="00B9018F">
        <w:rPr>
          <w:rStyle w:val="FootnoteReference"/>
          <w:color w:val="000000"/>
          <w:sz w:val="24"/>
          <w:szCs w:val="24"/>
        </w:rPr>
        <w:footnoteReference w:id="31"/>
      </w:r>
      <w:r w:rsidR="00386D58" w:rsidRPr="00B9018F">
        <w:rPr>
          <w:color w:val="000000"/>
          <w:sz w:val="24"/>
          <w:szCs w:val="24"/>
        </w:rPr>
        <w:t xml:space="preserve"> </w:t>
      </w:r>
      <w:r w:rsidR="004C226D" w:rsidRPr="00B9018F">
        <w:rPr>
          <w:color w:val="000000"/>
          <w:sz w:val="24"/>
          <w:szCs w:val="24"/>
        </w:rPr>
        <w:t xml:space="preserve">Before suit was filed, state regulators advised the defendant </w:t>
      </w:r>
      <w:r w:rsidR="00386D58" w:rsidRPr="00B9018F">
        <w:rPr>
          <w:color w:val="000000"/>
          <w:sz w:val="24"/>
          <w:szCs w:val="24"/>
        </w:rPr>
        <w:t xml:space="preserve">to take corrective measures to control </w:t>
      </w:r>
      <w:r w:rsidR="004C226D" w:rsidRPr="00B9018F">
        <w:rPr>
          <w:color w:val="000000"/>
          <w:sz w:val="24"/>
          <w:szCs w:val="24"/>
        </w:rPr>
        <w:t xml:space="preserve">its hydrogen sulfide gas </w:t>
      </w:r>
      <w:r w:rsidR="00386D58" w:rsidRPr="00B9018F">
        <w:rPr>
          <w:color w:val="000000"/>
          <w:sz w:val="24"/>
          <w:szCs w:val="24"/>
        </w:rPr>
        <w:t>emission</w:t>
      </w:r>
      <w:r w:rsidR="004C226D" w:rsidRPr="00B9018F">
        <w:rPr>
          <w:color w:val="000000"/>
          <w:sz w:val="24"/>
          <w:szCs w:val="24"/>
        </w:rPr>
        <w:t>s, but the defendant failed to comply</w:t>
      </w:r>
      <w:r w:rsidR="00386D58" w:rsidRPr="00B9018F">
        <w:rPr>
          <w:color w:val="000000"/>
          <w:sz w:val="24"/>
          <w:szCs w:val="24"/>
        </w:rPr>
        <w:t>.</w:t>
      </w:r>
      <w:r w:rsidR="004C226D" w:rsidRPr="00B9018F">
        <w:rPr>
          <w:rStyle w:val="FootnoteReference"/>
          <w:color w:val="000000"/>
          <w:sz w:val="24"/>
          <w:szCs w:val="24"/>
        </w:rPr>
        <w:footnoteReference w:id="32"/>
      </w:r>
      <w:r w:rsidR="00386D58" w:rsidRPr="00B9018F">
        <w:rPr>
          <w:color w:val="000000"/>
          <w:sz w:val="24"/>
          <w:szCs w:val="24"/>
        </w:rPr>
        <w:t xml:space="preserve"> The </w:t>
      </w:r>
      <w:r w:rsidR="004C226D" w:rsidRPr="00B9018F">
        <w:rPr>
          <w:color w:val="000000"/>
          <w:sz w:val="24"/>
          <w:szCs w:val="24"/>
        </w:rPr>
        <w:t xml:space="preserve">court </w:t>
      </w:r>
      <w:r w:rsidR="00386D58" w:rsidRPr="00B9018F">
        <w:rPr>
          <w:color w:val="000000"/>
          <w:sz w:val="24"/>
          <w:szCs w:val="24"/>
        </w:rPr>
        <w:t xml:space="preserve">ultimately held that because </w:t>
      </w:r>
      <w:r w:rsidR="004C226D" w:rsidRPr="00B9018F">
        <w:rPr>
          <w:color w:val="000000"/>
          <w:sz w:val="24"/>
          <w:szCs w:val="24"/>
        </w:rPr>
        <w:t xml:space="preserve">the defendant </w:t>
      </w:r>
      <w:r w:rsidR="00386D58" w:rsidRPr="00B9018F">
        <w:rPr>
          <w:color w:val="000000"/>
          <w:sz w:val="24"/>
          <w:szCs w:val="24"/>
        </w:rPr>
        <w:t xml:space="preserve">failed to take necessary </w:t>
      </w:r>
      <w:r w:rsidR="004C226D" w:rsidRPr="00B9018F">
        <w:rPr>
          <w:color w:val="000000"/>
          <w:sz w:val="24"/>
          <w:szCs w:val="24"/>
        </w:rPr>
        <w:t>corrective</w:t>
      </w:r>
      <w:r w:rsidR="00386D58" w:rsidRPr="00B9018F">
        <w:rPr>
          <w:color w:val="000000"/>
          <w:sz w:val="24"/>
          <w:szCs w:val="24"/>
        </w:rPr>
        <w:t xml:space="preserve"> measures</w:t>
      </w:r>
      <w:r w:rsidR="004C226D" w:rsidRPr="00B9018F">
        <w:rPr>
          <w:color w:val="000000"/>
          <w:sz w:val="24"/>
          <w:szCs w:val="24"/>
        </w:rPr>
        <w:t>, the defendant</w:t>
      </w:r>
      <w:r w:rsidR="009442FB" w:rsidRPr="00B9018F">
        <w:rPr>
          <w:color w:val="000000"/>
          <w:sz w:val="24"/>
          <w:szCs w:val="24"/>
        </w:rPr>
        <w:t>’</w:t>
      </w:r>
      <w:r w:rsidR="004C226D" w:rsidRPr="00B9018F">
        <w:rPr>
          <w:color w:val="000000"/>
          <w:sz w:val="24"/>
          <w:szCs w:val="24"/>
        </w:rPr>
        <w:t xml:space="preserve">s </w:t>
      </w:r>
      <w:r w:rsidR="00386D58" w:rsidRPr="00B9018F">
        <w:rPr>
          <w:color w:val="000000"/>
          <w:sz w:val="24"/>
          <w:szCs w:val="24"/>
        </w:rPr>
        <w:t xml:space="preserve">release of the hydrogen sulfide gas was an intentional act and </w:t>
      </w:r>
      <w:r w:rsidR="004C226D" w:rsidRPr="00B9018F">
        <w:rPr>
          <w:color w:val="000000"/>
          <w:sz w:val="24"/>
          <w:szCs w:val="24"/>
        </w:rPr>
        <w:t xml:space="preserve">therefore </w:t>
      </w:r>
      <w:r w:rsidR="00386D58" w:rsidRPr="00B9018F">
        <w:rPr>
          <w:color w:val="000000"/>
          <w:sz w:val="24"/>
          <w:szCs w:val="24"/>
        </w:rPr>
        <w:t xml:space="preserve">did not constitute an </w:t>
      </w:r>
      <w:r w:rsidR="009442FB" w:rsidRPr="00B9018F">
        <w:rPr>
          <w:color w:val="000000"/>
          <w:sz w:val="24"/>
          <w:szCs w:val="24"/>
        </w:rPr>
        <w:t>“</w:t>
      </w:r>
      <w:r w:rsidR="00386D58" w:rsidRPr="00B9018F">
        <w:rPr>
          <w:color w:val="000000"/>
          <w:sz w:val="24"/>
          <w:szCs w:val="24"/>
        </w:rPr>
        <w:t>occurrence</w:t>
      </w:r>
      <w:r w:rsidR="009442FB" w:rsidRPr="00B9018F">
        <w:rPr>
          <w:color w:val="000000"/>
          <w:sz w:val="24"/>
          <w:szCs w:val="24"/>
        </w:rPr>
        <w:t>”</w:t>
      </w:r>
      <w:r w:rsidR="00386D58" w:rsidRPr="00B9018F">
        <w:rPr>
          <w:color w:val="000000"/>
          <w:sz w:val="24"/>
          <w:szCs w:val="24"/>
        </w:rPr>
        <w:t xml:space="preserve"> under the policy.</w:t>
      </w:r>
      <w:r w:rsidR="004C226D" w:rsidRPr="00B9018F">
        <w:rPr>
          <w:rStyle w:val="FootnoteReference"/>
          <w:color w:val="000000"/>
          <w:sz w:val="24"/>
          <w:szCs w:val="24"/>
        </w:rPr>
        <w:footnoteReference w:id="33"/>
      </w:r>
      <w:r w:rsidR="00386D58" w:rsidRPr="00B9018F">
        <w:rPr>
          <w:color w:val="000000"/>
          <w:sz w:val="24"/>
          <w:szCs w:val="24"/>
        </w:rPr>
        <w:t xml:space="preserve"> </w:t>
      </w:r>
      <w:r w:rsidR="00D770C2" w:rsidRPr="00B9018F">
        <w:rPr>
          <w:color w:val="000000"/>
          <w:sz w:val="24"/>
          <w:szCs w:val="24"/>
        </w:rPr>
        <w:t>The court reasoned:</w:t>
      </w:r>
    </w:p>
    <w:p w14:paraId="77FDE901" w14:textId="77777777" w:rsidR="00D770C2" w:rsidRPr="00B9018F" w:rsidRDefault="00D770C2" w:rsidP="00386D58">
      <w:pPr>
        <w:ind w:firstLine="720"/>
        <w:jc w:val="both"/>
        <w:rPr>
          <w:color w:val="000000"/>
          <w:sz w:val="24"/>
          <w:szCs w:val="24"/>
        </w:rPr>
      </w:pPr>
    </w:p>
    <w:p w14:paraId="4CFAC42B" w14:textId="2F644DB3" w:rsidR="00D770C2" w:rsidRPr="00B9018F" w:rsidRDefault="004C226D" w:rsidP="00D770C2">
      <w:pPr>
        <w:ind w:left="720" w:right="720"/>
        <w:jc w:val="both"/>
        <w:rPr>
          <w:sz w:val="24"/>
          <w:szCs w:val="24"/>
        </w:rPr>
      </w:pPr>
      <w:r w:rsidRPr="00B9018F">
        <w:rPr>
          <w:sz w:val="24"/>
          <w:szCs w:val="24"/>
        </w:rPr>
        <w:t>[T]he focus of the occurrence definition is on whether the act is expected or intended, and not whether the resulting damage is expected or intended . . . . The question of intent does not relate to whether the defendant intended to harm the plaintiff but rather to whether the defendant intended to take the action that caused the harm . . . . [I]t is clear that [the insured</w:t>
      </w:r>
      <w:r w:rsidR="009442FB" w:rsidRPr="00B9018F">
        <w:rPr>
          <w:sz w:val="24"/>
          <w:szCs w:val="24"/>
        </w:rPr>
        <w:t>’</w:t>
      </w:r>
      <w:r w:rsidRPr="00B9018F">
        <w:rPr>
          <w:sz w:val="24"/>
          <w:szCs w:val="24"/>
        </w:rPr>
        <w:t>s] act of releasing [pollutants] . . . was not an accident, and hence was not an occurrenc</w:t>
      </w:r>
      <w:r w:rsidR="00D770C2" w:rsidRPr="00B9018F">
        <w:rPr>
          <w:sz w:val="24"/>
          <w:szCs w:val="24"/>
        </w:rPr>
        <w:t>e within the policy definition.</w:t>
      </w:r>
      <w:r w:rsidR="00D770C2" w:rsidRPr="00B9018F">
        <w:rPr>
          <w:rStyle w:val="FootnoteReference"/>
          <w:sz w:val="24"/>
          <w:szCs w:val="24"/>
        </w:rPr>
        <w:footnoteReference w:id="34"/>
      </w:r>
    </w:p>
    <w:p w14:paraId="5C6B70B7" w14:textId="77777777" w:rsidR="000A338B" w:rsidRPr="00B9018F" w:rsidRDefault="000A338B" w:rsidP="00D770C2">
      <w:pPr>
        <w:ind w:left="720" w:right="720"/>
        <w:jc w:val="both"/>
        <w:rPr>
          <w:color w:val="000000"/>
          <w:sz w:val="24"/>
          <w:szCs w:val="24"/>
        </w:rPr>
      </w:pPr>
    </w:p>
    <w:p w14:paraId="5B7EA2DD" w14:textId="2CD647C5" w:rsidR="00CC1734" w:rsidRPr="00B9018F" w:rsidRDefault="003F00C2" w:rsidP="003F00C2">
      <w:pPr>
        <w:jc w:val="both"/>
        <w:rPr>
          <w:sz w:val="24"/>
          <w:szCs w:val="24"/>
        </w:rPr>
      </w:pPr>
      <w:r w:rsidRPr="00B9018F">
        <w:rPr>
          <w:sz w:val="24"/>
          <w:szCs w:val="24"/>
        </w:rPr>
        <w:tab/>
      </w:r>
      <w:r w:rsidR="00E07075" w:rsidRPr="00B9018F">
        <w:rPr>
          <w:sz w:val="24"/>
          <w:szCs w:val="24"/>
        </w:rPr>
        <w:t xml:space="preserve">Under this rule, insurers have a strong argument that there is no coverage for </w:t>
      </w:r>
      <w:r w:rsidR="00F46FF4">
        <w:rPr>
          <w:sz w:val="24"/>
          <w:szCs w:val="24"/>
        </w:rPr>
        <w:t>“</w:t>
      </w:r>
      <w:r w:rsidR="00E07075" w:rsidRPr="00B9018F">
        <w:rPr>
          <w:sz w:val="24"/>
          <w:szCs w:val="24"/>
        </w:rPr>
        <w:t>property dama</w:t>
      </w:r>
      <w:r w:rsidR="009418E1" w:rsidRPr="00B9018F">
        <w:rPr>
          <w:sz w:val="24"/>
          <w:szCs w:val="24"/>
        </w:rPr>
        <w:t>ge</w:t>
      </w:r>
      <w:r w:rsidR="00F46FF4">
        <w:rPr>
          <w:sz w:val="24"/>
          <w:szCs w:val="24"/>
        </w:rPr>
        <w:t>”</w:t>
      </w:r>
      <w:r w:rsidR="009418E1" w:rsidRPr="00B9018F">
        <w:rPr>
          <w:sz w:val="24"/>
          <w:szCs w:val="24"/>
        </w:rPr>
        <w:t xml:space="preserve"> or </w:t>
      </w:r>
      <w:r w:rsidR="00F46FF4">
        <w:rPr>
          <w:sz w:val="24"/>
          <w:szCs w:val="24"/>
        </w:rPr>
        <w:t>“</w:t>
      </w:r>
      <w:r w:rsidR="009418E1" w:rsidRPr="00B9018F">
        <w:rPr>
          <w:sz w:val="24"/>
          <w:szCs w:val="24"/>
        </w:rPr>
        <w:t>bodily injury</w:t>
      </w:r>
      <w:r w:rsidR="00F46FF4">
        <w:rPr>
          <w:sz w:val="24"/>
          <w:szCs w:val="24"/>
        </w:rPr>
        <w:t>”</w:t>
      </w:r>
      <w:r w:rsidR="009418E1" w:rsidRPr="00B9018F">
        <w:rPr>
          <w:sz w:val="24"/>
          <w:szCs w:val="24"/>
        </w:rPr>
        <w:t xml:space="preserve"> caused by an </w:t>
      </w:r>
      <w:r w:rsidR="00E07075" w:rsidRPr="00B9018F">
        <w:rPr>
          <w:sz w:val="24"/>
          <w:szCs w:val="24"/>
        </w:rPr>
        <w:t>insured</w:t>
      </w:r>
      <w:r w:rsidR="009442FB" w:rsidRPr="00B9018F">
        <w:rPr>
          <w:sz w:val="24"/>
          <w:szCs w:val="24"/>
        </w:rPr>
        <w:t>’</w:t>
      </w:r>
      <w:r w:rsidR="00E07075" w:rsidRPr="00B9018F">
        <w:rPr>
          <w:sz w:val="24"/>
          <w:szCs w:val="24"/>
        </w:rPr>
        <w:t>s intentional emissions of chemicals or pollutants.</w:t>
      </w:r>
      <w:r w:rsidR="005E3C7F" w:rsidRPr="00B9018F">
        <w:rPr>
          <w:sz w:val="24"/>
          <w:szCs w:val="24"/>
        </w:rPr>
        <w:t xml:space="preserve"> </w:t>
      </w:r>
      <w:r w:rsidR="00386D58" w:rsidRPr="00B9018F">
        <w:rPr>
          <w:sz w:val="24"/>
          <w:szCs w:val="24"/>
        </w:rPr>
        <w:t>However, most jurisdictions do not</w:t>
      </w:r>
      <w:r w:rsidR="005E3C7F" w:rsidRPr="00B9018F">
        <w:rPr>
          <w:sz w:val="24"/>
          <w:szCs w:val="24"/>
        </w:rPr>
        <w:t xml:space="preserve"> </w:t>
      </w:r>
      <w:r w:rsidR="00F46FF4">
        <w:rPr>
          <w:sz w:val="24"/>
          <w:szCs w:val="24"/>
        </w:rPr>
        <w:t>determine</w:t>
      </w:r>
      <w:r w:rsidR="005E3C7F" w:rsidRPr="00B9018F">
        <w:rPr>
          <w:sz w:val="24"/>
          <w:szCs w:val="24"/>
        </w:rPr>
        <w:t xml:space="preserve"> whether there has been an </w:t>
      </w:r>
      <w:r w:rsidR="009442FB" w:rsidRPr="00B9018F">
        <w:rPr>
          <w:sz w:val="24"/>
          <w:szCs w:val="24"/>
        </w:rPr>
        <w:t>“</w:t>
      </w:r>
      <w:r w:rsidR="005E3C7F" w:rsidRPr="00B9018F">
        <w:rPr>
          <w:sz w:val="24"/>
          <w:szCs w:val="24"/>
        </w:rPr>
        <w:t>occurrence</w:t>
      </w:r>
      <w:r w:rsidR="009442FB" w:rsidRPr="00B9018F">
        <w:rPr>
          <w:sz w:val="24"/>
          <w:szCs w:val="24"/>
        </w:rPr>
        <w:t>”</w:t>
      </w:r>
      <w:r w:rsidR="005E3C7F" w:rsidRPr="00B9018F">
        <w:rPr>
          <w:sz w:val="24"/>
          <w:szCs w:val="24"/>
        </w:rPr>
        <w:t xml:space="preserve"> by evaluating the insured</w:t>
      </w:r>
      <w:r w:rsidR="009442FB" w:rsidRPr="00B9018F">
        <w:rPr>
          <w:sz w:val="24"/>
          <w:szCs w:val="24"/>
        </w:rPr>
        <w:t>’</w:t>
      </w:r>
      <w:r w:rsidR="005E3C7F" w:rsidRPr="00B9018F">
        <w:rPr>
          <w:sz w:val="24"/>
          <w:szCs w:val="24"/>
        </w:rPr>
        <w:t>s intent with respect to the act</w:t>
      </w:r>
      <w:r w:rsidR="00D025C8" w:rsidRPr="00B9018F">
        <w:rPr>
          <w:sz w:val="24"/>
          <w:szCs w:val="24"/>
        </w:rPr>
        <w:t xml:space="preserve"> causing the harm</w:t>
      </w:r>
      <w:r w:rsidR="005E3C7F" w:rsidRPr="00B9018F">
        <w:rPr>
          <w:sz w:val="24"/>
          <w:szCs w:val="24"/>
        </w:rPr>
        <w:t>, e.g. an industrial manufacturer</w:t>
      </w:r>
      <w:r w:rsidR="009442FB" w:rsidRPr="00B9018F">
        <w:rPr>
          <w:sz w:val="24"/>
          <w:szCs w:val="24"/>
        </w:rPr>
        <w:t>’</w:t>
      </w:r>
      <w:r w:rsidR="005E3C7F" w:rsidRPr="00B9018F">
        <w:rPr>
          <w:sz w:val="24"/>
          <w:szCs w:val="24"/>
        </w:rPr>
        <w:t xml:space="preserve">s emission of </w:t>
      </w:r>
      <w:r w:rsidR="00CC1734" w:rsidRPr="00B9018F">
        <w:rPr>
          <w:sz w:val="24"/>
          <w:szCs w:val="24"/>
        </w:rPr>
        <w:t>greenhouse gases</w:t>
      </w:r>
      <w:r w:rsidR="00386D58" w:rsidRPr="00B9018F">
        <w:rPr>
          <w:sz w:val="24"/>
          <w:szCs w:val="24"/>
        </w:rPr>
        <w:t xml:space="preserve">. Instead, </w:t>
      </w:r>
      <w:r w:rsidR="00D025C8" w:rsidRPr="00B9018F">
        <w:rPr>
          <w:sz w:val="24"/>
          <w:szCs w:val="24"/>
        </w:rPr>
        <w:t>most</w:t>
      </w:r>
      <w:r w:rsidR="00CC1734" w:rsidRPr="00B9018F">
        <w:rPr>
          <w:sz w:val="24"/>
          <w:szCs w:val="24"/>
        </w:rPr>
        <w:t xml:space="preserve"> other states evaluate whether </w:t>
      </w:r>
      <w:r w:rsidR="00306D8B" w:rsidRPr="00B9018F">
        <w:rPr>
          <w:sz w:val="24"/>
          <w:szCs w:val="24"/>
        </w:rPr>
        <w:t xml:space="preserve">an </w:t>
      </w:r>
      <w:r w:rsidR="00CC1734" w:rsidRPr="00B9018F">
        <w:rPr>
          <w:sz w:val="24"/>
          <w:szCs w:val="24"/>
        </w:rPr>
        <w:t xml:space="preserve">injury was caused by an </w:t>
      </w:r>
      <w:r w:rsidR="009442FB" w:rsidRPr="00B9018F">
        <w:rPr>
          <w:sz w:val="24"/>
          <w:szCs w:val="24"/>
        </w:rPr>
        <w:t>“</w:t>
      </w:r>
      <w:r w:rsidR="00CC1734" w:rsidRPr="00B9018F">
        <w:rPr>
          <w:sz w:val="24"/>
          <w:szCs w:val="24"/>
        </w:rPr>
        <w:t>occurrence</w:t>
      </w:r>
      <w:r w:rsidR="009442FB" w:rsidRPr="00B9018F">
        <w:rPr>
          <w:sz w:val="24"/>
          <w:szCs w:val="24"/>
        </w:rPr>
        <w:t>”</w:t>
      </w:r>
      <w:r w:rsidR="00CC1734" w:rsidRPr="00B9018F">
        <w:rPr>
          <w:sz w:val="24"/>
          <w:szCs w:val="24"/>
        </w:rPr>
        <w:t xml:space="preserve"> by focusing on whether the damage itself was accidental. </w:t>
      </w:r>
    </w:p>
    <w:p w14:paraId="035BFC1B" w14:textId="77777777" w:rsidR="00CC1734" w:rsidRPr="00B9018F" w:rsidRDefault="00CC1734" w:rsidP="00386D58">
      <w:pPr>
        <w:ind w:firstLine="720"/>
        <w:jc w:val="both"/>
        <w:rPr>
          <w:sz w:val="24"/>
          <w:szCs w:val="24"/>
        </w:rPr>
      </w:pPr>
    </w:p>
    <w:p w14:paraId="4B180F30" w14:textId="7074F4E5" w:rsidR="00386D58" w:rsidRPr="00B9018F" w:rsidRDefault="00C60EF2" w:rsidP="00386D58">
      <w:pPr>
        <w:ind w:firstLine="720"/>
        <w:jc w:val="both"/>
        <w:rPr>
          <w:color w:val="000000"/>
          <w:sz w:val="24"/>
          <w:szCs w:val="24"/>
        </w:rPr>
      </w:pPr>
      <w:r w:rsidRPr="00B9018F">
        <w:rPr>
          <w:sz w:val="24"/>
          <w:szCs w:val="24"/>
        </w:rPr>
        <w:t>Many</w:t>
      </w:r>
      <w:r w:rsidR="00386D58" w:rsidRPr="00B9018F">
        <w:rPr>
          <w:sz w:val="24"/>
          <w:szCs w:val="24"/>
        </w:rPr>
        <w:t xml:space="preserve"> jurisdictions </w:t>
      </w:r>
      <w:r w:rsidR="003F00C2" w:rsidRPr="00B9018F">
        <w:rPr>
          <w:sz w:val="24"/>
          <w:szCs w:val="24"/>
        </w:rPr>
        <w:t xml:space="preserve">hold that damage is caused by an </w:t>
      </w:r>
      <w:r w:rsidR="009442FB" w:rsidRPr="00B9018F">
        <w:rPr>
          <w:sz w:val="24"/>
          <w:szCs w:val="24"/>
        </w:rPr>
        <w:t>“</w:t>
      </w:r>
      <w:r w:rsidR="003F00C2" w:rsidRPr="00B9018F">
        <w:rPr>
          <w:sz w:val="24"/>
          <w:szCs w:val="24"/>
        </w:rPr>
        <w:t>occurrence</w:t>
      </w:r>
      <w:r w:rsidR="00F46FF4">
        <w:rPr>
          <w:sz w:val="24"/>
          <w:szCs w:val="24"/>
        </w:rPr>
        <w:t>,</w:t>
      </w:r>
      <w:r w:rsidR="009442FB" w:rsidRPr="00B9018F">
        <w:rPr>
          <w:sz w:val="24"/>
          <w:szCs w:val="24"/>
        </w:rPr>
        <w:t>”</w:t>
      </w:r>
      <w:r w:rsidR="00343ED7" w:rsidRPr="00B9018F">
        <w:rPr>
          <w:sz w:val="24"/>
          <w:szCs w:val="24"/>
        </w:rPr>
        <w:t xml:space="preserve"> or is accidental, if from the viewpoint of the insured, it is not the natural and probable consequence of the action or occurrence which produced the injury.</w:t>
      </w:r>
      <w:r w:rsidR="00CC1734" w:rsidRPr="00B9018F">
        <w:rPr>
          <w:rStyle w:val="FootnoteReference"/>
          <w:sz w:val="24"/>
          <w:szCs w:val="24"/>
        </w:rPr>
        <w:footnoteReference w:id="35"/>
      </w:r>
      <w:r w:rsidR="00386D58" w:rsidRPr="00B9018F">
        <w:rPr>
          <w:sz w:val="24"/>
          <w:szCs w:val="24"/>
        </w:rPr>
        <w:t xml:space="preserve"> </w:t>
      </w:r>
      <w:r w:rsidR="00CC1734" w:rsidRPr="00B9018F">
        <w:rPr>
          <w:sz w:val="24"/>
          <w:szCs w:val="24"/>
        </w:rPr>
        <w:t>For example, i</w:t>
      </w:r>
      <w:r w:rsidR="00386D58" w:rsidRPr="00B9018F">
        <w:rPr>
          <w:color w:val="000000"/>
          <w:sz w:val="24"/>
          <w:szCs w:val="24"/>
        </w:rPr>
        <w:t xml:space="preserve">n </w:t>
      </w:r>
      <w:r w:rsidR="00CC1734" w:rsidRPr="00B9018F">
        <w:rPr>
          <w:i/>
          <w:sz w:val="24"/>
          <w:szCs w:val="24"/>
        </w:rPr>
        <w:t>Mid-Century Ins. Co. of Tex. v. Lindsey</w:t>
      </w:r>
      <w:r w:rsidR="00386D58" w:rsidRPr="00B9018F">
        <w:rPr>
          <w:color w:val="000000"/>
          <w:sz w:val="24"/>
          <w:szCs w:val="24"/>
        </w:rPr>
        <w:t xml:space="preserve">, </w:t>
      </w:r>
      <w:r w:rsidR="00CC1734" w:rsidRPr="00B9018F">
        <w:rPr>
          <w:color w:val="000000"/>
          <w:sz w:val="24"/>
          <w:szCs w:val="24"/>
        </w:rPr>
        <w:t xml:space="preserve">a young boy </w:t>
      </w:r>
      <w:r w:rsidR="00A5314E" w:rsidRPr="00B9018F">
        <w:rPr>
          <w:color w:val="000000"/>
          <w:sz w:val="24"/>
          <w:szCs w:val="24"/>
        </w:rPr>
        <w:t xml:space="preserve">was climbing into a truck through its back window and, in doing so, accidentally discharged </w:t>
      </w:r>
      <w:r w:rsidR="003F00C2" w:rsidRPr="00B9018F">
        <w:rPr>
          <w:color w:val="000000"/>
          <w:sz w:val="24"/>
          <w:szCs w:val="24"/>
        </w:rPr>
        <w:t xml:space="preserve">buckshot from a shotgun </w:t>
      </w:r>
      <w:r w:rsidR="00A5314E" w:rsidRPr="00B9018F">
        <w:rPr>
          <w:color w:val="000000"/>
          <w:sz w:val="24"/>
          <w:szCs w:val="24"/>
        </w:rPr>
        <w:t>that struck an individual in an adjacent vehicle.</w:t>
      </w:r>
      <w:r w:rsidR="00A5314E" w:rsidRPr="00B9018F">
        <w:rPr>
          <w:rStyle w:val="FootnoteReference"/>
          <w:color w:val="000000"/>
          <w:sz w:val="24"/>
          <w:szCs w:val="24"/>
        </w:rPr>
        <w:footnoteReference w:id="36"/>
      </w:r>
      <w:r w:rsidR="003F00C2" w:rsidRPr="00B9018F">
        <w:rPr>
          <w:color w:val="000000"/>
          <w:sz w:val="24"/>
          <w:szCs w:val="24"/>
        </w:rPr>
        <w:t xml:space="preserve"> The c</w:t>
      </w:r>
      <w:r w:rsidR="00386D58" w:rsidRPr="00B9018F">
        <w:rPr>
          <w:color w:val="000000"/>
          <w:sz w:val="24"/>
          <w:szCs w:val="24"/>
        </w:rPr>
        <w:t xml:space="preserve">ourt reasoned that the only intentional act </w:t>
      </w:r>
      <w:r w:rsidR="00A5314E" w:rsidRPr="00B9018F">
        <w:rPr>
          <w:color w:val="000000"/>
          <w:sz w:val="24"/>
          <w:szCs w:val="24"/>
        </w:rPr>
        <w:t xml:space="preserve">at issue </w:t>
      </w:r>
      <w:r w:rsidR="00386D58" w:rsidRPr="00B9018F">
        <w:rPr>
          <w:color w:val="000000"/>
          <w:sz w:val="24"/>
          <w:szCs w:val="24"/>
        </w:rPr>
        <w:t>was the young boy attempting to gain entry to the vehicle.</w:t>
      </w:r>
      <w:r w:rsidR="00A5314E" w:rsidRPr="00B9018F">
        <w:rPr>
          <w:rStyle w:val="FootnoteReference"/>
          <w:color w:val="000000"/>
          <w:sz w:val="24"/>
          <w:szCs w:val="24"/>
        </w:rPr>
        <w:footnoteReference w:id="37"/>
      </w:r>
      <w:r w:rsidR="00A240F2" w:rsidRPr="00B9018F">
        <w:rPr>
          <w:color w:val="000000"/>
          <w:sz w:val="24"/>
          <w:szCs w:val="24"/>
        </w:rPr>
        <w:t xml:space="preserve"> B</w:t>
      </w:r>
      <w:r w:rsidR="00A5314E" w:rsidRPr="00B9018F">
        <w:rPr>
          <w:color w:val="000000"/>
          <w:sz w:val="24"/>
          <w:szCs w:val="24"/>
        </w:rPr>
        <w:t xml:space="preserve">ecause </w:t>
      </w:r>
      <w:r w:rsidR="00F46FF4">
        <w:rPr>
          <w:color w:val="000000"/>
          <w:sz w:val="24"/>
          <w:szCs w:val="24"/>
        </w:rPr>
        <w:t xml:space="preserve">the </w:t>
      </w:r>
      <w:r w:rsidR="00386D58" w:rsidRPr="00B9018F">
        <w:rPr>
          <w:color w:val="000000"/>
          <w:sz w:val="24"/>
          <w:szCs w:val="24"/>
        </w:rPr>
        <w:t xml:space="preserve">discharge of </w:t>
      </w:r>
      <w:r w:rsidR="00F46FF4">
        <w:rPr>
          <w:color w:val="000000"/>
          <w:sz w:val="24"/>
          <w:szCs w:val="24"/>
        </w:rPr>
        <w:t xml:space="preserve">the </w:t>
      </w:r>
      <w:r w:rsidR="00386D58" w:rsidRPr="00B9018F">
        <w:rPr>
          <w:color w:val="000000"/>
          <w:sz w:val="24"/>
          <w:szCs w:val="24"/>
        </w:rPr>
        <w:t>shotgun and plaintiff</w:t>
      </w:r>
      <w:r w:rsidR="009442FB" w:rsidRPr="00B9018F">
        <w:rPr>
          <w:color w:val="000000"/>
          <w:sz w:val="24"/>
          <w:szCs w:val="24"/>
        </w:rPr>
        <w:t>’</w:t>
      </w:r>
      <w:r w:rsidR="00386D58" w:rsidRPr="00B9018F">
        <w:rPr>
          <w:color w:val="000000"/>
          <w:sz w:val="24"/>
          <w:szCs w:val="24"/>
        </w:rPr>
        <w:t xml:space="preserve">s resulting injury were not foreseeable </w:t>
      </w:r>
      <w:r w:rsidR="00A5314E" w:rsidRPr="00B9018F">
        <w:rPr>
          <w:color w:val="000000"/>
          <w:sz w:val="24"/>
          <w:szCs w:val="24"/>
        </w:rPr>
        <w:t xml:space="preserve">by the insured, any </w:t>
      </w:r>
      <w:r w:rsidR="00F46FF4">
        <w:rPr>
          <w:color w:val="000000"/>
          <w:sz w:val="24"/>
          <w:szCs w:val="24"/>
        </w:rPr>
        <w:t>“</w:t>
      </w:r>
      <w:r w:rsidR="00A5314E" w:rsidRPr="00B9018F">
        <w:rPr>
          <w:color w:val="000000"/>
          <w:sz w:val="24"/>
          <w:szCs w:val="24"/>
        </w:rPr>
        <w:t>bodily injury</w:t>
      </w:r>
      <w:r w:rsidR="00F46FF4">
        <w:rPr>
          <w:color w:val="000000"/>
          <w:sz w:val="24"/>
          <w:szCs w:val="24"/>
        </w:rPr>
        <w:t>”</w:t>
      </w:r>
      <w:r w:rsidR="00A5314E" w:rsidRPr="00B9018F">
        <w:rPr>
          <w:color w:val="000000"/>
          <w:sz w:val="24"/>
          <w:szCs w:val="24"/>
        </w:rPr>
        <w:t xml:space="preserve"> was caused by an </w:t>
      </w:r>
      <w:r w:rsidR="009442FB" w:rsidRPr="00B9018F">
        <w:rPr>
          <w:color w:val="000000"/>
          <w:sz w:val="24"/>
          <w:szCs w:val="24"/>
        </w:rPr>
        <w:t>“</w:t>
      </w:r>
      <w:r w:rsidR="00A5314E" w:rsidRPr="00B9018F">
        <w:rPr>
          <w:color w:val="000000"/>
          <w:sz w:val="24"/>
          <w:szCs w:val="24"/>
        </w:rPr>
        <w:t>occurrence.</w:t>
      </w:r>
      <w:r w:rsidR="009442FB" w:rsidRPr="00B9018F">
        <w:rPr>
          <w:color w:val="000000"/>
          <w:sz w:val="24"/>
          <w:szCs w:val="24"/>
        </w:rPr>
        <w:t>”</w:t>
      </w:r>
      <w:r w:rsidR="00A5314E" w:rsidRPr="00B9018F">
        <w:rPr>
          <w:rStyle w:val="FootnoteReference"/>
          <w:color w:val="000000"/>
          <w:sz w:val="24"/>
          <w:szCs w:val="24"/>
        </w:rPr>
        <w:footnoteReference w:id="38"/>
      </w:r>
      <w:r w:rsidR="00A5314E" w:rsidRPr="00B9018F">
        <w:rPr>
          <w:color w:val="000000"/>
          <w:sz w:val="24"/>
          <w:szCs w:val="24"/>
        </w:rPr>
        <w:t xml:space="preserve"> </w:t>
      </w:r>
    </w:p>
    <w:p w14:paraId="750B89AA" w14:textId="77777777" w:rsidR="00386D58" w:rsidRPr="00B9018F" w:rsidRDefault="00386D58" w:rsidP="00386D58">
      <w:pPr>
        <w:ind w:firstLine="720"/>
        <w:jc w:val="both"/>
        <w:rPr>
          <w:color w:val="000000"/>
          <w:sz w:val="24"/>
          <w:szCs w:val="24"/>
        </w:rPr>
      </w:pPr>
      <w:r w:rsidRPr="00B9018F">
        <w:rPr>
          <w:color w:val="000000"/>
          <w:sz w:val="24"/>
          <w:szCs w:val="24"/>
        </w:rPr>
        <w:t xml:space="preserve"> </w:t>
      </w:r>
    </w:p>
    <w:p w14:paraId="77E2C9CE" w14:textId="7499270F" w:rsidR="00386D58" w:rsidRPr="00B9018F" w:rsidRDefault="00C622A7" w:rsidP="00C56ADA">
      <w:pPr>
        <w:ind w:firstLine="720"/>
        <w:jc w:val="both"/>
        <w:rPr>
          <w:color w:val="000000"/>
          <w:sz w:val="24"/>
          <w:szCs w:val="24"/>
        </w:rPr>
      </w:pPr>
      <w:r w:rsidRPr="00B9018F">
        <w:rPr>
          <w:color w:val="000000"/>
          <w:sz w:val="24"/>
          <w:szCs w:val="24"/>
        </w:rPr>
        <w:t xml:space="preserve">Other </w:t>
      </w:r>
      <w:r w:rsidR="00F41E90" w:rsidRPr="00B9018F">
        <w:rPr>
          <w:color w:val="000000"/>
          <w:sz w:val="24"/>
          <w:szCs w:val="24"/>
        </w:rPr>
        <w:t xml:space="preserve">states </w:t>
      </w:r>
      <w:r w:rsidR="00F41E90" w:rsidRPr="00B9018F">
        <w:rPr>
          <w:sz w:val="24"/>
          <w:szCs w:val="24"/>
        </w:rPr>
        <w:t xml:space="preserve">determine whether </w:t>
      </w:r>
      <w:r w:rsidR="00306D8B" w:rsidRPr="00B9018F">
        <w:rPr>
          <w:sz w:val="24"/>
          <w:szCs w:val="24"/>
        </w:rPr>
        <w:t xml:space="preserve">an </w:t>
      </w:r>
      <w:r w:rsidR="00F41E90" w:rsidRPr="00B9018F">
        <w:rPr>
          <w:sz w:val="24"/>
          <w:szCs w:val="24"/>
        </w:rPr>
        <w:t xml:space="preserve">injury was caused by an </w:t>
      </w:r>
      <w:r w:rsidR="009442FB" w:rsidRPr="00B9018F">
        <w:rPr>
          <w:sz w:val="24"/>
          <w:szCs w:val="24"/>
        </w:rPr>
        <w:t>“</w:t>
      </w:r>
      <w:r w:rsidR="00F41E90" w:rsidRPr="00B9018F">
        <w:rPr>
          <w:sz w:val="24"/>
          <w:szCs w:val="24"/>
        </w:rPr>
        <w:t>occurrence</w:t>
      </w:r>
      <w:r w:rsidR="009442FB" w:rsidRPr="00B9018F">
        <w:rPr>
          <w:sz w:val="24"/>
          <w:szCs w:val="24"/>
        </w:rPr>
        <w:t>”</w:t>
      </w:r>
      <w:r w:rsidR="00F41E90" w:rsidRPr="00B9018F">
        <w:rPr>
          <w:sz w:val="24"/>
          <w:szCs w:val="24"/>
        </w:rPr>
        <w:t xml:space="preserve"> by evaluating whether the </w:t>
      </w:r>
      <w:r w:rsidR="00386D58" w:rsidRPr="00B9018F">
        <w:rPr>
          <w:sz w:val="24"/>
          <w:szCs w:val="24"/>
        </w:rPr>
        <w:t xml:space="preserve">resulting injury or damage </w:t>
      </w:r>
      <w:r w:rsidR="00F41E90" w:rsidRPr="00B9018F">
        <w:rPr>
          <w:sz w:val="24"/>
          <w:szCs w:val="24"/>
        </w:rPr>
        <w:t xml:space="preserve">was </w:t>
      </w:r>
      <w:r w:rsidR="00386D58" w:rsidRPr="00B9018F">
        <w:rPr>
          <w:sz w:val="24"/>
          <w:szCs w:val="24"/>
        </w:rPr>
        <w:t xml:space="preserve">expected or intended </w:t>
      </w:r>
      <w:r w:rsidR="00386D58" w:rsidRPr="00B9018F">
        <w:rPr>
          <w:color w:val="000000"/>
          <w:sz w:val="24"/>
          <w:szCs w:val="24"/>
        </w:rPr>
        <w:t>by the injured party</w:t>
      </w:r>
      <w:r w:rsidR="00F119FB" w:rsidRPr="00B9018F">
        <w:rPr>
          <w:color w:val="000000"/>
          <w:sz w:val="24"/>
          <w:szCs w:val="24"/>
        </w:rPr>
        <w:t>, rather than by the insured</w:t>
      </w:r>
      <w:r w:rsidR="009153E7" w:rsidRPr="00B9018F">
        <w:rPr>
          <w:color w:val="000000"/>
          <w:sz w:val="24"/>
          <w:szCs w:val="24"/>
        </w:rPr>
        <w:t>.</w:t>
      </w:r>
      <w:r w:rsidR="00F41E90" w:rsidRPr="00B9018F">
        <w:rPr>
          <w:rStyle w:val="FootnoteReference"/>
          <w:color w:val="000000"/>
          <w:sz w:val="24"/>
          <w:szCs w:val="24"/>
        </w:rPr>
        <w:footnoteReference w:id="39"/>
      </w:r>
      <w:r w:rsidR="00386D58" w:rsidRPr="00B9018F">
        <w:rPr>
          <w:color w:val="000000"/>
          <w:sz w:val="24"/>
          <w:szCs w:val="24"/>
        </w:rPr>
        <w:t xml:space="preserve"> </w:t>
      </w:r>
      <w:r w:rsidR="00C56ADA" w:rsidRPr="00B9018F">
        <w:rPr>
          <w:color w:val="000000"/>
          <w:sz w:val="24"/>
          <w:szCs w:val="24"/>
        </w:rPr>
        <w:t xml:space="preserve">A Louisiana Court of Appeal faithfully applied this approach in </w:t>
      </w:r>
      <w:r w:rsidR="00C56ADA" w:rsidRPr="00B9018F">
        <w:rPr>
          <w:i/>
          <w:color w:val="000000"/>
          <w:sz w:val="24"/>
          <w:szCs w:val="24"/>
        </w:rPr>
        <w:t>Sova v. Cove Homeowner</w:t>
      </w:r>
      <w:r w:rsidR="009442FB" w:rsidRPr="00B9018F">
        <w:rPr>
          <w:i/>
          <w:color w:val="000000"/>
          <w:sz w:val="24"/>
          <w:szCs w:val="24"/>
        </w:rPr>
        <w:t>’</w:t>
      </w:r>
      <w:r w:rsidR="00C56ADA" w:rsidRPr="00B9018F">
        <w:rPr>
          <w:i/>
          <w:color w:val="000000"/>
          <w:sz w:val="24"/>
          <w:szCs w:val="24"/>
        </w:rPr>
        <w:t>s Ass</w:t>
      </w:r>
      <w:r w:rsidR="009442FB" w:rsidRPr="00B9018F">
        <w:rPr>
          <w:i/>
          <w:color w:val="000000"/>
          <w:sz w:val="24"/>
          <w:szCs w:val="24"/>
        </w:rPr>
        <w:t>’</w:t>
      </w:r>
      <w:r w:rsidR="00C56ADA" w:rsidRPr="00B9018F">
        <w:rPr>
          <w:i/>
          <w:color w:val="000000"/>
          <w:sz w:val="24"/>
          <w:szCs w:val="24"/>
        </w:rPr>
        <w:t>n, Inc.</w:t>
      </w:r>
      <w:r w:rsidR="00C56ADA" w:rsidRPr="00B9018F">
        <w:rPr>
          <w:rStyle w:val="FootnoteReference"/>
          <w:color w:val="000000"/>
          <w:sz w:val="24"/>
          <w:szCs w:val="24"/>
        </w:rPr>
        <w:footnoteReference w:id="40"/>
      </w:r>
      <w:r w:rsidR="00C56ADA" w:rsidRPr="00B9018F">
        <w:rPr>
          <w:color w:val="000000"/>
          <w:sz w:val="24"/>
          <w:szCs w:val="24"/>
        </w:rPr>
        <w:t xml:space="preserve"> In </w:t>
      </w:r>
      <w:r w:rsidR="00C56ADA" w:rsidRPr="00B9018F">
        <w:rPr>
          <w:i/>
          <w:color w:val="000000"/>
          <w:sz w:val="24"/>
          <w:szCs w:val="24"/>
        </w:rPr>
        <w:t>Sova</w:t>
      </w:r>
      <w:r w:rsidR="00C56ADA" w:rsidRPr="00B9018F">
        <w:rPr>
          <w:color w:val="000000"/>
          <w:sz w:val="24"/>
          <w:szCs w:val="24"/>
        </w:rPr>
        <w:t xml:space="preserve">, </w:t>
      </w:r>
      <w:r w:rsidR="00E72881" w:rsidRPr="00B9018F">
        <w:rPr>
          <w:color w:val="000000"/>
          <w:sz w:val="24"/>
          <w:szCs w:val="24"/>
        </w:rPr>
        <w:t xml:space="preserve">the </w:t>
      </w:r>
      <w:r w:rsidR="0049378F" w:rsidRPr="00B9018F">
        <w:rPr>
          <w:color w:val="000000"/>
          <w:sz w:val="24"/>
          <w:szCs w:val="24"/>
        </w:rPr>
        <w:t>plaintiff sued his homeowners association for improperly placing a lien on his home in enforcing violation</w:t>
      </w:r>
      <w:r w:rsidR="00E72881" w:rsidRPr="00B9018F">
        <w:rPr>
          <w:color w:val="000000"/>
          <w:sz w:val="24"/>
          <w:szCs w:val="24"/>
        </w:rPr>
        <w:t>s</w:t>
      </w:r>
      <w:r w:rsidR="0049378F" w:rsidRPr="00B9018F">
        <w:rPr>
          <w:color w:val="000000"/>
          <w:sz w:val="24"/>
          <w:szCs w:val="24"/>
        </w:rPr>
        <w:t xml:space="preserve"> of certain subdivision restrictions.</w:t>
      </w:r>
      <w:r w:rsidR="0049378F" w:rsidRPr="00B9018F">
        <w:rPr>
          <w:rStyle w:val="FootnoteReference"/>
          <w:color w:val="000000"/>
          <w:sz w:val="24"/>
          <w:szCs w:val="24"/>
        </w:rPr>
        <w:footnoteReference w:id="41"/>
      </w:r>
      <w:r w:rsidR="00C56ADA" w:rsidRPr="00B9018F">
        <w:rPr>
          <w:i/>
          <w:color w:val="000000"/>
          <w:sz w:val="24"/>
          <w:szCs w:val="24"/>
        </w:rPr>
        <w:t xml:space="preserve"> </w:t>
      </w:r>
      <w:r w:rsidR="0049378F" w:rsidRPr="00B9018F">
        <w:rPr>
          <w:color w:val="000000"/>
          <w:sz w:val="24"/>
          <w:szCs w:val="24"/>
        </w:rPr>
        <w:t>Plaintiff sought to recover damages for his mental anguish as a result of the association</w:t>
      </w:r>
      <w:r w:rsidR="009442FB" w:rsidRPr="00B9018F">
        <w:rPr>
          <w:color w:val="000000"/>
          <w:sz w:val="24"/>
          <w:szCs w:val="24"/>
        </w:rPr>
        <w:t>’</w:t>
      </w:r>
      <w:r w:rsidR="0049378F" w:rsidRPr="00B9018F">
        <w:rPr>
          <w:color w:val="000000"/>
          <w:sz w:val="24"/>
          <w:szCs w:val="24"/>
        </w:rPr>
        <w:t>s intentional harassment.</w:t>
      </w:r>
      <w:r w:rsidR="0049378F" w:rsidRPr="00B9018F">
        <w:rPr>
          <w:rStyle w:val="FootnoteReference"/>
          <w:color w:val="000000"/>
          <w:sz w:val="24"/>
          <w:szCs w:val="24"/>
        </w:rPr>
        <w:footnoteReference w:id="42"/>
      </w:r>
      <w:r w:rsidR="0049378F" w:rsidRPr="00B9018F">
        <w:rPr>
          <w:color w:val="000000"/>
          <w:sz w:val="24"/>
          <w:szCs w:val="24"/>
        </w:rPr>
        <w:t xml:space="preserve"> The </w:t>
      </w:r>
      <w:r w:rsidR="0049378F" w:rsidRPr="00B9018F">
        <w:rPr>
          <w:i/>
          <w:color w:val="000000"/>
          <w:sz w:val="24"/>
          <w:szCs w:val="24"/>
        </w:rPr>
        <w:t xml:space="preserve">Sova </w:t>
      </w:r>
      <w:r w:rsidR="0049378F" w:rsidRPr="00B9018F">
        <w:rPr>
          <w:color w:val="000000"/>
          <w:sz w:val="24"/>
          <w:szCs w:val="24"/>
        </w:rPr>
        <w:t xml:space="preserve">court concluded that because plaintiff </w:t>
      </w:r>
      <w:r w:rsidR="009153E7" w:rsidRPr="00B9018F">
        <w:rPr>
          <w:color w:val="000000"/>
          <w:sz w:val="24"/>
          <w:szCs w:val="24"/>
        </w:rPr>
        <w:t xml:space="preserve">had actual knowledge of the subdivision restrictions, plaintiff </w:t>
      </w:r>
      <w:r w:rsidR="00E72881" w:rsidRPr="00B9018F">
        <w:rPr>
          <w:color w:val="000000"/>
          <w:sz w:val="24"/>
          <w:szCs w:val="24"/>
        </w:rPr>
        <w:t xml:space="preserve">could not </w:t>
      </w:r>
      <w:r w:rsidR="009442FB" w:rsidRPr="00B9018F">
        <w:rPr>
          <w:color w:val="000000"/>
          <w:sz w:val="24"/>
          <w:szCs w:val="24"/>
        </w:rPr>
        <w:t>“</w:t>
      </w:r>
      <w:r w:rsidR="009153E7" w:rsidRPr="00B9018F">
        <w:rPr>
          <w:color w:val="000000"/>
          <w:sz w:val="24"/>
          <w:szCs w:val="24"/>
        </w:rPr>
        <w:t>validly claim that enforcement of the restrictions and assessment of fines and penalties against him was unexpected or unforeseeable.</w:t>
      </w:r>
      <w:r w:rsidR="009442FB" w:rsidRPr="00B9018F">
        <w:rPr>
          <w:color w:val="000000"/>
          <w:sz w:val="24"/>
          <w:szCs w:val="24"/>
        </w:rPr>
        <w:t>”</w:t>
      </w:r>
      <w:r w:rsidR="009153E7" w:rsidRPr="00B9018F">
        <w:rPr>
          <w:rStyle w:val="FootnoteReference"/>
          <w:color w:val="000000"/>
          <w:sz w:val="24"/>
          <w:szCs w:val="24"/>
        </w:rPr>
        <w:footnoteReference w:id="43"/>
      </w:r>
      <w:r w:rsidR="009153E7" w:rsidRPr="00B9018F">
        <w:rPr>
          <w:color w:val="000000"/>
          <w:sz w:val="24"/>
          <w:szCs w:val="24"/>
        </w:rPr>
        <w:t xml:space="preserve"> The court reasoned that because Louisiana jurisprudence holds an accident to be </w:t>
      </w:r>
      <w:r w:rsidR="009442FB" w:rsidRPr="00B9018F">
        <w:rPr>
          <w:color w:val="000000"/>
          <w:sz w:val="24"/>
          <w:szCs w:val="24"/>
        </w:rPr>
        <w:t>“</w:t>
      </w:r>
      <w:r w:rsidR="009153E7" w:rsidRPr="00B9018F">
        <w:rPr>
          <w:color w:val="000000"/>
          <w:sz w:val="24"/>
          <w:szCs w:val="24"/>
        </w:rPr>
        <w:t>an event that is unforeseeable and unexpected by the person acted on or affected by the event,</w:t>
      </w:r>
      <w:r w:rsidR="009442FB" w:rsidRPr="00B9018F">
        <w:rPr>
          <w:color w:val="000000"/>
          <w:sz w:val="24"/>
          <w:szCs w:val="24"/>
        </w:rPr>
        <w:t>”</w:t>
      </w:r>
      <w:r w:rsidR="009153E7" w:rsidRPr="00B9018F">
        <w:rPr>
          <w:color w:val="000000"/>
          <w:sz w:val="24"/>
          <w:szCs w:val="24"/>
        </w:rPr>
        <w:t xml:space="preserve"> </w:t>
      </w:r>
      <w:r w:rsidR="00E72881" w:rsidRPr="00B9018F">
        <w:rPr>
          <w:color w:val="000000"/>
          <w:sz w:val="24"/>
          <w:szCs w:val="24"/>
        </w:rPr>
        <w:t xml:space="preserve">the </w:t>
      </w:r>
      <w:r w:rsidR="009153E7" w:rsidRPr="00B9018F">
        <w:rPr>
          <w:color w:val="000000"/>
          <w:sz w:val="24"/>
          <w:szCs w:val="24"/>
        </w:rPr>
        <w:t>plaintiff</w:t>
      </w:r>
      <w:r w:rsidR="009442FB" w:rsidRPr="00B9018F">
        <w:rPr>
          <w:color w:val="000000"/>
          <w:sz w:val="24"/>
          <w:szCs w:val="24"/>
        </w:rPr>
        <w:t>’</w:t>
      </w:r>
      <w:r w:rsidR="009153E7" w:rsidRPr="00B9018F">
        <w:rPr>
          <w:color w:val="000000"/>
          <w:sz w:val="24"/>
          <w:szCs w:val="24"/>
        </w:rPr>
        <w:t xml:space="preserve">s alleged damages were not caused by an </w:t>
      </w:r>
      <w:r w:rsidR="009442FB" w:rsidRPr="00B9018F">
        <w:rPr>
          <w:color w:val="000000"/>
          <w:sz w:val="24"/>
          <w:szCs w:val="24"/>
        </w:rPr>
        <w:t>“</w:t>
      </w:r>
      <w:r w:rsidR="009153E7" w:rsidRPr="00B9018F">
        <w:rPr>
          <w:color w:val="000000"/>
          <w:sz w:val="24"/>
          <w:szCs w:val="24"/>
        </w:rPr>
        <w:t>occurrence.</w:t>
      </w:r>
      <w:r w:rsidR="009442FB" w:rsidRPr="00B9018F">
        <w:rPr>
          <w:color w:val="000000"/>
          <w:sz w:val="24"/>
          <w:szCs w:val="24"/>
        </w:rPr>
        <w:t>”</w:t>
      </w:r>
      <w:r w:rsidR="009153E7" w:rsidRPr="00B9018F">
        <w:rPr>
          <w:rStyle w:val="FootnoteReference"/>
          <w:color w:val="000000"/>
          <w:sz w:val="24"/>
          <w:szCs w:val="24"/>
        </w:rPr>
        <w:footnoteReference w:id="44"/>
      </w:r>
      <w:r w:rsidR="009153E7" w:rsidRPr="00B9018F">
        <w:rPr>
          <w:color w:val="000000"/>
          <w:sz w:val="24"/>
          <w:szCs w:val="24"/>
        </w:rPr>
        <w:t xml:space="preserve"> </w:t>
      </w:r>
    </w:p>
    <w:p w14:paraId="0C9BDA5D" w14:textId="77777777" w:rsidR="00C622A7" w:rsidRPr="00B9018F" w:rsidRDefault="00C622A7" w:rsidP="00C56ADA">
      <w:pPr>
        <w:ind w:firstLine="720"/>
        <w:jc w:val="both"/>
        <w:rPr>
          <w:color w:val="000000"/>
          <w:sz w:val="24"/>
          <w:szCs w:val="24"/>
        </w:rPr>
      </w:pPr>
    </w:p>
    <w:p w14:paraId="5214D0EA" w14:textId="6866FE4E" w:rsidR="00C622A7" w:rsidRPr="00B9018F" w:rsidRDefault="00C622A7" w:rsidP="00C56ADA">
      <w:pPr>
        <w:ind w:firstLine="720"/>
        <w:jc w:val="both"/>
        <w:rPr>
          <w:color w:val="000000"/>
          <w:sz w:val="24"/>
          <w:szCs w:val="24"/>
        </w:rPr>
      </w:pPr>
      <w:r w:rsidRPr="00B9018F">
        <w:rPr>
          <w:color w:val="000000"/>
          <w:sz w:val="24"/>
          <w:szCs w:val="24"/>
        </w:rPr>
        <w:t>Accordingly,</w:t>
      </w:r>
      <w:r w:rsidR="002516E5" w:rsidRPr="00B9018F">
        <w:rPr>
          <w:color w:val="000000"/>
          <w:sz w:val="24"/>
          <w:szCs w:val="24"/>
        </w:rPr>
        <w:t xml:space="preserve"> when considering whether a climate change claimant</w:t>
      </w:r>
      <w:r w:rsidR="009442FB" w:rsidRPr="00B9018F">
        <w:rPr>
          <w:color w:val="000000"/>
          <w:sz w:val="24"/>
          <w:szCs w:val="24"/>
        </w:rPr>
        <w:t>’</w:t>
      </w:r>
      <w:r w:rsidR="002516E5" w:rsidRPr="00B9018F">
        <w:rPr>
          <w:color w:val="000000"/>
          <w:sz w:val="24"/>
          <w:szCs w:val="24"/>
        </w:rPr>
        <w:t xml:space="preserve">s alleged damages were caused by an </w:t>
      </w:r>
      <w:r w:rsidR="009442FB" w:rsidRPr="00B9018F">
        <w:rPr>
          <w:color w:val="000000"/>
          <w:sz w:val="24"/>
          <w:szCs w:val="24"/>
        </w:rPr>
        <w:t>“</w:t>
      </w:r>
      <w:r w:rsidR="002516E5" w:rsidRPr="00B9018F">
        <w:rPr>
          <w:color w:val="000000"/>
          <w:sz w:val="24"/>
          <w:szCs w:val="24"/>
        </w:rPr>
        <w:t>occurrence,</w:t>
      </w:r>
      <w:r w:rsidR="009442FB" w:rsidRPr="00B9018F">
        <w:rPr>
          <w:color w:val="000000"/>
          <w:sz w:val="24"/>
          <w:szCs w:val="24"/>
        </w:rPr>
        <w:t>”</w:t>
      </w:r>
      <w:r w:rsidR="002516E5" w:rsidRPr="00B9018F">
        <w:rPr>
          <w:color w:val="000000"/>
          <w:sz w:val="24"/>
          <w:szCs w:val="24"/>
        </w:rPr>
        <w:t xml:space="preserve"> insurers should understand the importance of the role that local law plays in making that determination. </w:t>
      </w:r>
    </w:p>
    <w:p w14:paraId="05F299B8" w14:textId="77777777" w:rsidR="00926C7B" w:rsidRPr="00B9018F" w:rsidRDefault="00926C7B" w:rsidP="00C56ADA">
      <w:pPr>
        <w:ind w:firstLine="720"/>
        <w:jc w:val="both"/>
        <w:rPr>
          <w:color w:val="000000"/>
          <w:sz w:val="24"/>
          <w:szCs w:val="24"/>
        </w:rPr>
      </w:pPr>
    </w:p>
    <w:p w14:paraId="3067EC64" w14:textId="77777777" w:rsidR="0091516C" w:rsidRPr="00B9018F" w:rsidRDefault="0091516C" w:rsidP="0091516C">
      <w:pPr>
        <w:jc w:val="both"/>
        <w:rPr>
          <w:b/>
          <w:sz w:val="24"/>
          <w:szCs w:val="24"/>
        </w:rPr>
      </w:pPr>
      <w:r w:rsidRPr="00B9018F">
        <w:rPr>
          <w:b/>
          <w:sz w:val="24"/>
          <w:szCs w:val="24"/>
        </w:rPr>
        <w:t>(3)</w:t>
      </w:r>
      <w:r w:rsidRPr="00B9018F">
        <w:rPr>
          <w:b/>
          <w:sz w:val="24"/>
          <w:szCs w:val="24"/>
        </w:rPr>
        <w:tab/>
        <w:t>When did the damage occur?</w:t>
      </w:r>
    </w:p>
    <w:p w14:paraId="1DE475D9" w14:textId="77777777" w:rsidR="0091516C" w:rsidRPr="00B9018F" w:rsidRDefault="0091516C" w:rsidP="0091516C">
      <w:pPr>
        <w:jc w:val="both"/>
        <w:rPr>
          <w:b/>
          <w:sz w:val="24"/>
          <w:szCs w:val="24"/>
        </w:rPr>
      </w:pPr>
    </w:p>
    <w:p w14:paraId="427C968D" w14:textId="6D6FF0B8" w:rsidR="00A223BB" w:rsidRPr="00B9018F" w:rsidRDefault="004B27AA" w:rsidP="00A223BB">
      <w:pPr>
        <w:jc w:val="both"/>
        <w:rPr>
          <w:sz w:val="24"/>
          <w:szCs w:val="24"/>
        </w:rPr>
      </w:pPr>
      <w:r w:rsidRPr="00B9018F">
        <w:rPr>
          <w:b/>
          <w:sz w:val="24"/>
          <w:szCs w:val="24"/>
        </w:rPr>
        <w:tab/>
      </w:r>
      <w:r w:rsidR="007610A7" w:rsidRPr="00B9018F">
        <w:rPr>
          <w:sz w:val="24"/>
          <w:szCs w:val="24"/>
        </w:rPr>
        <w:t xml:space="preserve">In addition to the requirement that damage be caused by an </w:t>
      </w:r>
      <w:r w:rsidR="009442FB" w:rsidRPr="00B9018F">
        <w:rPr>
          <w:sz w:val="24"/>
          <w:szCs w:val="24"/>
        </w:rPr>
        <w:t>“</w:t>
      </w:r>
      <w:r w:rsidR="007610A7" w:rsidRPr="00B9018F">
        <w:rPr>
          <w:sz w:val="24"/>
          <w:szCs w:val="24"/>
        </w:rPr>
        <w:t>occurrence,</w:t>
      </w:r>
      <w:r w:rsidR="009442FB" w:rsidRPr="00B9018F">
        <w:rPr>
          <w:sz w:val="24"/>
          <w:szCs w:val="24"/>
        </w:rPr>
        <w:t>”</w:t>
      </w:r>
      <w:r w:rsidR="007610A7" w:rsidRPr="00B9018F">
        <w:rPr>
          <w:sz w:val="24"/>
          <w:szCs w:val="24"/>
        </w:rPr>
        <w:t xml:space="preserve"> t</w:t>
      </w:r>
      <w:r w:rsidR="002516E5" w:rsidRPr="00B9018F">
        <w:rPr>
          <w:sz w:val="24"/>
          <w:szCs w:val="24"/>
        </w:rPr>
        <w:t xml:space="preserve">he </w:t>
      </w:r>
      <w:r w:rsidRPr="00B9018F">
        <w:rPr>
          <w:sz w:val="24"/>
          <w:szCs w:val="24"/>
        </w:rPr>
        <w:t>insuring agreement</w:t>
      </w:r>
      <w:r w:rsidR="002516E5" w:rsidRPr="00B9018F">
        <w:rPr>
          <w:sz w:val="24"/>
          <w:szCs w:val="24"/>
        </w:rPr>
        <w:t>s</w:t>
      </w:r>
      <w:r w:rsidRPr="00B9018F">
        <w:rPr>
          <w:sz w:val="24"/>
          <w:szCs w:val="24"/>
        </w:rPr>
        <w:t xml:space="preserve"> </w:t>
      </w:r>
      <w:r w:rsidR="002516E5" w:rsidRPr="00B9018F">
        <w:rPr>
          <w:sz w:val="24"/>
          <w:szCs w:val="24"/>
        </w:rPr>
        <w:t>in CGL and many pollution liability policies mandate</w:t>
      </w:r>
      <w:r w:rsidRPr="00B9018F">
        <w:rPr>
          <w:sz w:val="24"/>
          <w:szCs w:val="24"/>
        </w:rPr>
        <w:t xml:space="preserve"> that the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occur during the policy period. EIL policies</w:t>
      </w:r>
      <w:r w:rsidR="002516E5" w:rsidRPr="00B9018F">
        <w:rPr>
          <w:sz w:val="24"/>
          <w:szCs w:val="24"/>
        </w:rPr>
        <w:t>, by comparison,</w:t>
      </w:r>
      <w:r w:rsidRPr="00B9018F">
        <w:rPr>
          <w:sz w:val="24"/>
          <w:szCs w:val="24"/>
        </w:rPr>
        <w:t xml:space="preserve"> generally include an insuring agreement that require</w:t>
      </w:r>
      <w:r w:rsidR="002516E5" w:rsidRPr="00B9018F">
        <w:rPr>
          <w:sz w:val="24"/>
          <w:szCs w:val="24"/>
        </w:rPr>
        <w:t>s</w:t>
      </w:r>
      <w:r w:rsidRPr="00B9018F">
        <w:rPr>
          <w:sz w:val="24"/>
          <w:szCs w:val="24"/>
        </w:rPr>
        <w:t xml:space="preserve"> the </w:t>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resulting from </w:t>
      </w:r>
      <w:r w:rsidR="009442FB" w:rsidRPr="00B9018F">
        <w:rPr>
          <w:sz w:val="24"/>
          <w:szCs w:val="24"/>
        </w:rPr>
        <w:t>“</w:t>
      </w:r>
      <w:r w:rsidRPr="00B9018F">
        <w:rPr>
          <w:sz w:val="24"/>
          <w:szCs w:val="24"/>
        </w:rPr>
        <w:t>pollution conditions</w:t>
      </w:r>
      <w:r w:rsidR="009442FB" w:rsidRPr="00B9018F">
        <w:rPr>
          <w:sz w:val="24"/>
          <w:szCs w:val="24"/>
        </w:rPr>
        <w:t>”</w:t>
      </w:r>
      <w:r w:rsidRPr="00B9018F">
        <w:rPr>
          <w:sz w:val="24"/>
          <w:szCs w:val="24"/>
        </w:rPr>
        <w:t xml:space="preserve"> to first occur</w:t>
      </w:r>
      <w:r w:rsidRPr="00B9018F">
        <w:rPr>
          <w:rStyle w:val="FootnoteReference"/>
          <w:sz w:val="24"/>
          <w:szCs w:val="24"/>
        </w:rPr>
        <w:footnoteReference w:id="45"/>
      </w:r>
      <w:r w:rsidRPr="00B9018F">
        <w:rPr>
          <w:sz w:val="24"/>
          <w:szCs w:val="24"/>
        </w:rPr>
        <w:t xml:space="preserve"> during the policy period. </w:t>
      </w:r>
      <w:r w:rsidR="00A223BB" w:rsidRPr="00B9018F">
        <w:rPr>
          <w:sz w:val="24"/>
          <w:szCs w:val="24"/>
        </w:rPr>
        <w:t>Determining when the claimant</w:t>
      </w:r>
      <w:r w:rsidR="009442FB" w:rsidRPr="00B9018F">
        <w:rPr>
          <w:sz w:val="24"/>
          <w:szCs w:val="24"/>
        </w:rPr>
        <w:t>’</w:t>
      </w:r>
      <w:r w:rsidR="00A223BB" w:rsidRPr="00B9018F">
        <w:rPr>
          <w:sz w:val="24"/>
          <w:szCs w:val="24"/>
        </w:rPr>
        <w:t xml:space="preserve">s alleged injury actually took place is an extremely important aspect of evaluating coverage in </w:t>
      </w:r>
      <w:r w:rsidR="007610A7" w:rsidRPr="00B9018F">
        <w:rPr>
          <w:sz w:val="24"/>
          <w:szCs w:val="24"/>
        </w:rPr>
        <w:t xml:space="preserve">the </w:t>
      </w:r>
      <w:r w:rsidR="00A223BB" w:rsidRPr="00B9018F">
        <w:rPr>
          <w:sz w:val="24"/>
          <w:szCs w:val="24"/>
        </w:rPr>
        <w:t>context</w:t>
      </w:r>
      <w:r w:rsidR="007610A7" w:rsidRPr="00B9018F">
        <w:rPr>
          <w:sz w:val="24"/>
          <w:szCs w:val="24"/>
        </w:rPr>
        <w:t xml:space="preserve"> of any cla</w:t>
      </w:r>
      <w:r w:rsidR="00F131C7">
        <w:rPr>
          <w:sz w:val="24"/>
          <w:szCs w:val="24"/>
        </w:rPr>
        <w:t>i</w:t>
      </w:r>
      <w:r w:rsidR="007610A7" w:rsidRPr="00B9018F">
        <w:rPr>
          <w:sz w:val="24"/>
          <w:szCs w:val="24"/>
        </w:rPr>
        <w:t>m</w:t>
      </w:r>
      <w:r w:rsidR="00A223BB" w:rsidRPr="00B9018F">
        <w:rPr>
          <w:sz w:val="24"/>
          <w:szCs w:val="24"/>
        </w:rPr>
        <w:t>. But because climate change claims typically invo</w:t>
      </w:r>
      <w:r w:rsidR="00862031" w:rsidRPr="00B9018F">
        <w:rPr>
          <w:sz w:val="24"/>
          <w:szCs w:val="24"/>
        </w:rPr>
        <w:t xml:space="preserve">lve injuries resulting from an </w:t>
      </w:r>
      <w:r w:rsidR="00A223BB" w:rsidRPr="00B9018F">
        <w:rPr>
          <w:sz w:val="24"/>
          <w:szCs w:val="24"/>
        </w:rPr>
        <w:t>insured</w:t>
      </w:r>
      <w:r w:rsidR="009442FB" w:rsidRPr="00B9018F">
        <w:rPr>
          <w:sz w:val="24"/>
          <w:szCs w:val="24"/>
        </w:rPr>
        <w:t>’</w:t>
      </w:r>
      <w:r w:rsidR="00A223BB" w:rsidRPr="00B9018F">
        <w:rPr>
          <w:sz w:val="24"/>
          <w:szCs w:val="24"/>
        </w:rPr>
        <w:t>s emissions or other contributions to climate change over a long period of time, it can be difficult to assess when the claimant</w:t>
      </w:r>
      <w:r w:rsidR="009442FB" w:rsidRPr="00B9018F">
        <w:rPr>
          <w:sz w:val="24"/>
          <w:szCs w:val="24"/>
        </w:rPr>
        <w:t>’</w:t>
      </w:r>
      <w:r w:rsidR="00A223BB" w:rsidRPr="00B9018F">
        <w:rPr>
          <w:sz w:val="24"/>
          <w:szCs w:val="24"/>
        </w:rPr>
        <w:t>s alleged damage actually occurred.</w:t>
      </w:r>
      <w:r w:rsidR="007147D6" w:rsidRPr="00B9018F">
        <w:rPr>
          <w:sz w:val="24"/>
          <w:szCs w:val="24"/>
        </w:rPr>
        <w:t xml:space="preserve"> </w:t>
      </w:r>
      <w:r w:rsidR="007610A7" w:rsidRPr="00B9018F">
        <w:rPr>
          <w:sz w:val="24"/>
          <w:szCs w:val="24"/>
        </w:rPr>
        <w:t xml:space="preserve">Although climate change claims present </w:t>
      </w:r>
      <w:r w:rsidR="00A8564B" w:rsidRPr="00B9018F">
        <w:rPr>
          <w:sz w:val="24"/>
          <w:szCs w:val="24"/>
        </w:rPr>
        <w:t xml:space="preserve">some </w:t>
      </w:r>
      <w:r w:rsidR="007610A7" w:rsidRPr="00B9018F">
        <w:rPr>
          <w:sz w:val="24"/>
          <w:szCs w:val="24"/>
        </w:rPr>
        <w:t xml:space="preserve">interesting conceptual </w:t>
      </w:r>
      <w:r w:rsidR="00A8564B" w:rsidRPr="00B9018F">
        <w:rPr>
          <w:sz w:val="24"/>
          <w:szCs w:val="24"/>
        </w:rPr>
        <w:t xml:space="preserve">challenges </w:t>
      </w:r>
      <w:r w:rsidR="007610A7" w:rsidRPr="00B9018F">
        <w:rPr>
          <w:sz w:val="24"/>
          <w:szCs w:val="24"/>
        </w:rPr>
        <w:t>regarding the timing of alleged damage, c</w:t>
      </w:r>
      <w:r w:rsidR="007147D6" w:rsidRPr="00B9018F">
        <w:rPr>
          <w:sz w:val="24"/>
          <w:szCs w:val="24"/>
        </w:rPr>
        <w:t>ourts</w:t>
      </w:r>
      <w:r w:rsidR="009442FB" w:rsidRPr="00B9018F">
        <w:rPr>
          <w:sz w:val="24"/>
          <w:szCs w:val="24"/>
        </w:rPr>
        <w:t xml:space="preserve"> </w:t>
      </w:r>
      <w:r w:rsidR="00A8564B" w:rsidRPr="00B9018F">
        <w:rPr>
          <w:sz w:val="24"/>
          <w:szCs w:val="24"/>
        </w:rPr>
        <w:t>addressing this question in the context of various other long latency injury claims</w:t>
      </w:r>
      <w:r w:rsidR="00F46FF4">
        <w:rPr>
          <w:sz w:val="24"/>
          <w:szCs w:val="24"/>
        </w:rPr>
        <w:t xml:space="preserve"> </w:t>
      </w:r>
      <w:r w:rsidR="007147D6" w:rsidRPr="00B9018F">
        <w:rPr>
          <w:sz w:val="24"/>
          <w:szCs w:val="24"/>
        </w:rPr>
        <w:t xml:space="preserve">have </w:t>
      </w:r>
      <w:r w:rsidR="00A8564B" w:rsidRPr="00B9018F">
        <w:rPr>
          <w:sz w:val="24"/>
          <w:szCs w:val="24"/>
        </w:rPr>
        <w:t xml:space="preserve">developed various </w:t>
      </w:r>
      <w:r w:rsidR="009442FB" w:rsidRPr="00B9018F">
        <w:rPr>
          <w:sz w:val="24"/>
          <w:szCs w:val="24"/>
        </w:rPr>
        <w:t>“</w:t>
      </w:r>
      <w:r w:rsidR="00A8564B" w:rsidRPr="00B9018F">
        <w:rPr>
          <w:sz w:val="24"/>
          <w:szCs w:val="24"/>
        </w:rPr>
        <w:t>trigger</w:t>
      </w:r>
      <w:r w:rsidR="009442FB" w:rsidRPr="00B9018F">
        <w:rPr>
          <w:sz w:val="24"/>
          <w:szCs w:val="24"/>
        </w:rPr>
        <w:t>”</w:t>
      </w:r>
      <w:r w:rsidR="00A8564B" w:rsidRPr="00B9018F">
        <w:rPr>
          <w:sz w:val="24"/>
          <w:szCs w:val="24"/>
        </w:rPr>
        <w:t xml:space="preserve"> theories to resolve the issue</w:t>
      </w:r>
      <w:r w:rsidR="007147D6" w:rsidRPr="00B9018F">
        <w:rPr>
          <w:sz w:val="24"/>
          <w:szCs w:val="24"/>
        </w:rPr>
        <w:t>.</w:t>
      </w:r>
      <w:r w:rsidR="009442FB" w:rsidRPr="00B9018F">
        <w:rPr>
          <w:sz w:val="24"/>
          <w:szCs w:val="24"/>
        </w:rPr>
        <w:t xml:space="preserve"> </w:t>
      </w:r>
    </w:p>
    <w:p w14:paraId="16A4C40A" w14:textId="77777777" w:rsidR="008B1B1C" w:rsidRPr="00B9018F" w:rsidRDefault="008B1B1C" w:rsidP="008B1B1C">
      <w:pPr>
        <w:jc w:val="both"/>
        <w:rPr>
          <w:sz w:val="24"/>
          <w:szCs w:val="24"/>
        </w:rPr>
      </w:pPr>
    </w:p>
    <w:p w14:paraId="7CFADE64" w14:textId="7E05BBAC" w:rsidR="00220A07" w:rsidRPr="00B9018F" w:rsidRDefault="007147D6" w:rsidP="00220A07">
      <w:pPr>
        <w:ind w:left="720" w:hanging="720"/>
        <w:jc w:val="both"/>
        <w:rPr>
          <w:b/>
          <w:sz w:val="24"/>
          <w:szCs w:val="24"/>
        </w:rPr>
      </w:pPr>
      <w:r w:rsidRPr="00B9018F">
        <w:rPr>
          <w:b/>
          <w:sz w:val="24"/>
          <w:szCs w:val="24"/>
        </w:rPr>
        <w:tab/>
        <w:t>(a)</w:t>
      </w:r>
      <w:r w:rsidRPr="00B9018F">
        <w:rPr>
          <w:b/>
          <w:sz w:val="24"/>
          <w:szCs w:val="24"/>
        </w:rPr>
        <w:tab/>
        <w:t>The Injury-in-Fact Theory</w:t>
      </w:r>
    </w:p>
    <w:p w14:paraId="4D70DE1C" w14:textId="77777777" w:rsidR="007147D6" w:rsidRPr="00B9018F" w:rsidRDefault="007147D6" w:rsidP="00220A07">
      <w:pPr>
        <w:ind w:left="720" w:hanging="720"/>
        <w:jc w:val="both"/>
        <w:rPr>
          <w:b/>
          <w:sz w:val="24"/>
          <w:szCs w:val="24"/>
        </w:rPr>
      </w:pPr>
    </w:p>
    <w:p w14:paraId="7739FCEA" w14:textId="5CB0DAA6" w:rsidR="007147D6" w:rsidRPr="00B9018F" w:rsidRDefault="007147D6" w:rsidP="005D2DD7">
      <w:pPr>
        <w:jc w:val="both"/>
        <w:rPr>
          <w:sz w:val="24"/>
          <w:szCs w:val="24"/>
        </w:rPr>
      </w:pPr>
      <w:r w:rsidRPr="00B9018F">
        <w:rPr>
          <w:b/>
          <w:sz w:val="24"/>
          <w:szCs w:val="24"/>
        </w:rPr>
        <w:tab/>
      </w:r>
      <w:r w:rsidRPr="00B9018F">
        <w:rPr>
          <w:sz w:val="24"/>
          <w:szCs w:val="24"/>
        </w:rPr>
        <w:t xml:space="preserve">A majority of jurisdictions have adopted the </w:t>
      </w:r>
      <w:r w:rsidR="009442FB" w:rsidRPr="00B9018F">
        <w:rPr>
          <w:sz w:val="24"/>
          <w:szCs w:val="24"/>
        </w:rPr>
        <w:t>“</w:t>
      </w:r>
      <w:r w:rsidRPr="00B9018F">
        <w:rPr>
          <w:sz w:val="24"/>
          <w:szCs w:val="24"/>
        </w:rPr>
        <w:t>injury-in-fact</w:t>
      </w:r>
      <w:r w:rsidR="009442FB" w:rsidRPr="00B9018F">
        <w:rPr>
          <w:sz w:val="24"/>
          <w:szCs w:val="24"/>
        </w:rPr>
        <w:t>”</w:t>
      </w:r>
      <w:r w:rsidR="005D2DD7" w:rsidRPr="00B9018F">
        <w:rPr>
          <w:sz w:val="24"/>
          <w:szCs w:val="24"/>
        </w:rPr>
        <w:t xml:space="preserve"> approach.</w:t>
      </w:r>
      <w:r w:rsidR="005D2DD7" w:rsidRPr="00B9018F">
        <w:rPr>
          <w:rStyle w:val="FootnoteReference"/>
          <w:sz w:val="24"/>
          <w:szCs w:val="24"/>
        </w:rPr>
        <w:footnoteReference w:id="46"/>
      </w:r>
      <w:r w:rsidRPr="00B9018F">
        <w:rPr>
          <w:sz w:val="24"/>
          <w:szCs w:val="24"/>
        </w:rPr>
        <w:t xml:space="preserve"> </w:t>
      </w:r>
      <w:r w:rsidR="005D2DD7" w:rsidRPr="00B9018F">
        <w:rPr>
          <w:sz w:val="24"/>
          <w:szCs w:val="24"/>
        </w:rPr>
        <w:t>Under this theory, coverage is triggered on the date when the damage actually occurs even if the damage has not been discovered or become manifest.</w:t>
      </w:r>
      <w:r w:rsidR="005D2DD7" w:rsidRPr="00B9018F">
        <w:rPr>
          <w:rStyle w:val="FootnoteReference"/>
          <w:sz w:val="24"/>
          <w:szCs w:val="24"/>
        </w:rPr>
        <w:footnoteReference w:id="47"/>
      </w:r>
      <w:r w:rsidR="005D2DD7" w:rsidRPr="00B9018F">
        <w:rPr>
          <w:sz w:val="24"/>
          <w:szCs w:val="24"/>
        </w:rPr>
        <w:t xml:space="preserve"> </w:t>
      </w:r>
    </w:p>
    <w:p w14:paraId="1CCCC8A4" w14:textId="77777777" w:rsidR="007147D6" w:rsidRPr="00B9018F" w:rsidRDefault="007147D6" w:rsidP="00220A07">
      <w:pPr>
        <w:ind w:left="720" w:hanging="720"/>
        <w:jc w:val="both"/>
        <w:rPr>
          <w:b/>
          <w:sz w:val="24"/>
          <w:szCs w:val="24"/>
        </w:rPr>
      </w:pPr>
    </w:p>
    <w:p w14:paraId="3CFDBE14" w14:textId="6379C279" w:rsidR="007147D6" w:rsidRPr="00B9018F" w:rsidRDefault="007147D6" w:rsidP="00220A07">
      <w:pPr>
        <w:ind w:left="720" w:hanging="720"/>
        <w:jc w:val="both"/>
        <w:rPr>
          <w:b/>
          <w:sz w:val="24"/>
          <w:szCs w:val="24"/>
        </w:rPr>
      </w:pPr>
      <w:r w:rsidRPr="00B9018F">
        <w:rPr>
          <w:b/>
          <w:sz w:val="24"/>
          <w:szCs w:val="24"/>
        </w:rPr>
        <w:tab/>
        <w:t>(b)</w:t>
      </w:r>
      <w:r w:rsidRPr="00B9018F">
        <w:rPr>
          <w:b/>
          <w:sz w:val="24"/>
          <w:szCs w:val="24"/>
        </w:rPr>
        <w:tab/>
        <w:t>The Mani</w:t>
      </w:r>
      <w:r w:rsidR="00F33B57" w:rsidRPr="00B9018F">
        <w:rPr>
          <w:b/>
          <w:sz w:val="24"/>
          <w:szCs w:val="24"/>
        </w:rPr>
        <w:t>festation Theory</w:t>
      </w:r>
    </w:p>
    <w:p w14:paraId="512690D8" w14:textId="77777777" w:rsidR="00F33B57" w:rsidRPr="00B9018F" w:rsidRDefault="00F33B57" w:rsidP="00220A07">
      <w:pPr>
        <w:ind w:left="720" w:hanging="720"/>
        <w:jc w:val="both"/>
        <w:rPr>
          <w:b/>
          <w:sz w:val="24"/>
          <w:szCs w:val="24"/>
        </w:rPr>
      </w:pPr>
    </w:p>
    <w:p w14:paraId="4F8F9618" w14:textId="29944CE5" w:rsidR="00F33B57" w:rsidRPr="00B9018F" w:rsidRDefault="00F33B57" w:rsidP="00F33B57">
      <w:pPr>
        <w:jc w:val="both"/>
        <w:rPr>
          <w:sz w:val="24"/>
          <w:szCs w:val="24"/>
        </w:rPr>
      </w:pPr>
      <w:r w:rsidRPr="00B9018F">
        <w:rPr>
          <w:b/>
          <w:sz w:val="24"/>
          <w:szCs w:val="24"/>
        </w:rPr>
        <w:tab/>
      </w:r>
      <w:r w:rsidRPr="00B9018F">
        <w:rPr>
          <w:sz w:val="24"/>
          <w:szCs w:val="24"/>
        </w:rPr>
        <w:t xml:space="preserve">Under the manifestation theory, damage occurs when the damage manifests itself or </w:t>
      </w:r>
      <w:r w:rsidR="00AB7B20" w:rsidRPr="00B9018F">
        <w:rPr>
          <w:sz w:val="24"/>
          <w:szCs w:val="24"/>
        </w:rPr>
        <w:t>when the claimant discovers the damage</w:t>
      </w:r>
      <w:r w:rsidRPr="00B9018F">
        <w:rPr>
          <w:sz w:val="24"/>
          <w:szCs w:val="24"/>
        </w:rPr>
        <w:t>.</w:t>
      </w:r>
      <w:r w:rsidR="00FC100E" w:rsidRPr="00B9018F">
        <w:rPr>
          <w:rStyle w:val="FootnoteReference"/>
          <w:sz w:val="24"/>
          <w:szCs w:val="24"/>
        </w:rPr>
        <w:footnoteReference w:id="48"/>
      </w:r>
      <w:r w:rsidRPr="00B9018F">
        <w:rPr>
          <w:sz w:val="24"/>
          <w:szCs w:val="24"/>
        </w:rPr>
        <w:t xml:space="preserve"> Some jurisdictions have adopted the manifestation theory particularly with respect to long latency property damage claims.</w:t>
      </w:r>
      <w:r w:rsidRPr="00B9018F">
        <w:rPr>
          <w:rStyle w:val="FootnoteReference"/>
          <w:sz w:val="24"/>
          <w:szCs w:val="24"/>
        </w:rPr>
        <w:footnoteReference w:id="49"/>
      </w:r>
      <w:r w:rsidRPr="00B9018F">
        <w:rPr>
          <w:sz w:val="24"/>
          <w:szCs w:val="24"/>
        </w:rPr>
        <w:t xml:space="preserve"> </w:t>
      </w:r>
      <w:r w:rsidR="00FC100E" w:rsidRPr="00B9018F">
        <w:rPr>
          <w:sz w:val="24"/>
          <w:szCs w:val="24"/>
        </w:rPr>
        <w:t>Under the manifestation theory, property damage occurs when it manifests, regardless of when the act from which it resulted occurred.</w:t>
      </w:r>
      <w:r w:rsidR="00C075FF" w:rsidRPr="00B9018F">
        <w:rPr>
          <w:sz w:val="24"/>
          <w:szCs w:val="24"/>
        </w:rPr>
        <w:t xml:space="preserve"> </w:t>
      </w:r>
    </w:p>
    <w:p w14:paraId="5BF9AFAA" w14:textId="77777777" w:rsidR="00020966" w:rsidRPr="00B9018F" w:rsidRDefault="00020966" w:rsidP="00F33B57">
      <w:pPr>
        <w:jc w:val="both"/>
        <w:rPr>
          <w:sz w:val="24"/>
          <w:szCs w:val="24"/>
        </w:rPr>
      </w:pPr>
    </w:p>
    <w:p w14:paraId="14D4E879" w14:textId="2D43E745" w:rsidR="00020966" w:rsidRPr="00B9018F" w:rsidRDefault="00020966" w:rsidP="00F33B57">
      <w:pPr>
        <w:jc w:val="both"/>
        <w:rPr>
          <w:b/>
          <w:sz w:val="24"/>
          <w:szCs w:val="24"/>
        </w:rPr>
      </w:pPr>
      <w:r w:rsidRPr="00B9018F">
        <w:rPr>
          <w:b/>
          <w:sz w:val="24"/>
          <w:szCs w:val="24"/>
        </w:rPr>
        <w:tab/>
        <w:t>(c)</w:t>
      </w:r>
      <w:r w:rsidRPr="00B9018F">
        <w:rPr>
          <w:b/>
          <w:sz w:val="24"/>
          <w:szCs w:val="24"/>
        </w:rPr>
        <w:tab/>
        <w:t>The Exposure Theory</w:t>
      </w:r>
    </w:p>
    <w:p w14:paraId="210C19A9" w14:textId="77777777" w:rsidR="00020966" w:rsidRPr="00B9018F" w:rsidRDefault="00020966" w:rsidP="00F33B57">
      <w:pPr>
        <w:jc w:val="both"/>
        <w:rPr>
          <w:b/>
          <w:sz w:val="24"/>
          <w:szCs w:val="24"/>
        </w:rPr>
      </w:pPr>
    </w:p>
    <w:p w14:paraId="684128D5" w14:textId="1F60D062" w:rsidR="00020966" w:rsidRPr="00B9018F" w:rsidRDefault="00020966" w:rsidP="00F33B57">
      <w:pPr>
        <w:jc w:val="both"/>
        <w:rPr>
          <w:sz w:val="24"/>
          <w:szCs w:val="24"/>
        </w:rPr>
      </w:pPr>
      <w:r w:rsidRPr="00B9018F">
        <w:rPr>
          <w:b/>
          <w:sz w:val="24"/>
          <w:szCs w:val="24"/>
        </w:rPr>
        <w:tab/>
      </w:r>
      <w:r w:rsidRPr="00B9018F">
        <w:rPr>
          <w:sz w:val="24"/>
          <w:szCs w:val="24"/>
        </w:rPr>
        <w:t>The exposure theory, by comparison, holds that damage occurs</w:t>
      </w:r>
      <w:r w:rsidR="002D407F" w:rsidRPr="00B9018F">
        <w:rPr>
          <w:sz w:val="24"/>
          <w:szCs w:val="24"/>
        </w:rPr>
        <w:t xml:space="preserve"> upon first exposure to the harmful condition. Some jurisdictions have adopted this approach when dealing particularly with long latency diseases like asbestosis, explaining that, although the insurance industry </w:t>
      </w:r>
      <w:r w:rsidR="009442FB" w:rsidRPr="00B9018F">
        <w:rPr>
          <w:sz w:val="24"/>
          <w:szCs w:val="24"/>
        </w:rPr>
        <w:t>“</w:t>
      </w:r>
      <w:r w:rsidR="002D407F" w:rsidRPr="00B9018F">
        <w:rPr>
          <w:sz w:val="24"/>
          <w:szCs w:val="24"/>
        </w:rPr>
        <w:t>doubtless did not foresee the extent of the liability problem asbestosis cases would present,</w:t>
      </w:r>
      <w:r w:rsidR="009442FB" w:rsidRPr="00B9018F">
        <w:rPr>
          <w:sz w:val="24"/>
          <w:szCs w:val="24"/>
        </w:rPr>
        <w:t>”</w:t>
      </w:r>
      <w:r w:rsidR="002D407F" w:rsidRPr="00B9018F">
        <w:rPr>
          <w:sz w:val="24"/>
          <w:szCs w:val="24"/>
        </w:rPr>
        <w:t xml:space="preserve"> the exposure theory represents </w:t>
      </w:r>
      <w:r w:rsidR="009442FB" w:rsidRPr="00B9018F">
        <w:rPr>
          <w:sz w:val="24"/>
          <w:szCs w:val="24"/>
        </w:rPr>
        <w:t>“</w:t>
      </w:r>
      <w:r w:rsidR="002D407F" w:rsidRPr="00B9018F">
        <w:rPr>
          <w:sz w:val="24"/>
          <w:szCs w:val="24"/>
        </w:rPr>
        <w:t>both a literal construction of the policy language and the construction that maximize coverage.</w:t>
      </w:r>
      <w:r w:rsidR="009442FB" w:rsidRPr="00B9018F">
        <w:rPr>
          <w:sz w:val="24"/>
          <w:szCs w:val="24"/>
        </w:rPr>
        <w:t>”</w:t>
      </w:r>
      <w:r w:rsidR="002D407F" w:rsidRPr="00B9018F">
        <w:rPr>
          <w:rStyle w:val="FootnoteReference"/>
          <w:sz w:val="24"/>
          <w:szCs w:val="24"/>
        </w:rPr>
        <w:footnoteReference w:id="50"/>
      </w:r>
      <w:r w:rsidR="00443C6A" w:rsidRPr="00B9018F">
        <w:rPr>
          <w:sz w:val="24"/>
          <w:szCs w:val="24"/>
        </w:rPr>
        <w:t xml:space="preserve"> </w:t>
      </w:r>
    </w:p>
    <w:p w14:paraId="358EAB3C" w14:textId="77777777" w:rsidR="00E93D05" w:rsidRPr="00B9018F" w:rsidRDefault="00E93D05" w:rsidP="00F33B57">
      <w:pPr>
        <w:jc w:val="both"/>
        <w:rPr>
          <w:sz w:val="24"/>
          <w:szCs w:val="24"/>
        </w:rPr>
      </w:pPr>
    </w:p>
    <w:p w14:paraId="6ECD94F0" w14:textId="6F068C48" w:rsidR="00CB6540" w:rsidRPr="00B9018F" w:rsidRDefault="0091516C" w:rsidP="0091516C">
      <w:pPr>
        <w:rPr>
          <w:b/>
          <w:sz w:val="24"/>
          <w:szCs w:val="24"/>
        </w:rPr>
      </w:pPr>
      <w:r w:rsidRPr="00B9018F">
        <w:rPr>
          <w:b/>
          <w:sz w:val="24"/>
          <w:szCs w:val="24"/>
        </w:rPr>
        <w:t>(4)</w:t>
      </w:r>
      <w:r w:rsidRPr="00B9018F">
        <w:rPr>
          <w:b/>
          <w:sz w:val="24"/>
          <w:szCs w:val="24"/>
        </w:rPr>
        <w:tab/>
        <w:t>How is liability between insurers allocated?</w:t>
      </w:r>
    </w:p>
    <w:p w14:paraId="6940AB3A" w14:textId="77777777" w:rsidR="006B03B7" w:rsidRPr="00B9018F" w:rsidRDefault="006B03B7" w:rsidP="0091516C">
      <w:pPr>
        <w:rPr>
          <w:b/>
          <w:sz w:val="24"/>
          <w:szCs w:val="24"/>
        </w:rPr>
      </w:pPr>
    </w:p>
    <w:p w14:paraId="72AB7098" w14:textId="77538690" w:rsidR="00DD6455" w:rsidRPr="00B9018F" w:rsidRDefault="004447FD" w:rsidP="00AA6B06">
      <w:pPr>
        <w:autoSpaceDE w:val="0"/>
        <w:autoSpaceDN w:val="0"/>
        <w:spacing w:before="40" w:after="40"/>
        <w:ind w:firstLine="720"/>
        <w:jc w:val="both"/>
        <w:rPr>
          <w:rFonts w:cs="Times New Roman"/>
          <w:color w:val="000000"/>
          <w:sz w:val="24"/>
          <w:szCs w:val="24"/>
        </w:rPr>
      </w:pPr>
      <w:r w:rsidRPr="00B9018F">
        <w:rPr>
          <w:rFonts w:cs="Times New Roman"/>
          <w:color w:val="000000"/>
          <w:sz w:val="24"/>
          <w:szCs w:val="24"/>
        </w:rPr>
        <w:t xml:space="preserve">Due to its nature, a climate change claim may implicate multiple policies because the injury or damage is continuous over several years. </w:t>
      </w:r>
      <w:r w:rsidR="00825E2C" w:rsidRPr="00B9018F">
        <w:rPr>
          <w:rFonts w:cs="Times New Roman"/>
          <w:color w:val="000000"/>
          <w:sz w:val="24"/>
          <w:szCs w:val="24"/>
        </w:rPr>
        <w:t>Long-tail liability claims arise from circumstances involving continuous or progressive injury over a period of time. Because long-tail claims may extend over multiple years, may implicate multiple policies, and often involve significant sums, the concept of allocation among multiple responding policies is of immense importance to both insureds and their insurers.</w:t>
      </w:r>
      <w:r w:rsidR="009442FB" w:rsidRPr="00B9018F">
        <w:rPr>
          <w:rFonts w:cs="Times New Roman"/>
          <w:color w:val="000000"/>
          <w:sz w:val="24"/>
          <w:szCs w:val="24"/>
        </w:rPr>
        <w:t xml:space="preserve"> </w:t>
      </w:r>
      <w:r w:rsidR="00825E2C" w:rsidRPr="00B9018F">
        <w:rPr>
          <w:rFonts w:cs="Times New Roman"/>
          <w:color w:val="000000"/>
          <w:sz w:val="24"/>
          <w:szCs w:val="24"/>
        </w:rPr>
        <w:t xml:space="preserve">Allocation </w:t>
      </w:r>
      <w:r w:rsidR="009642E1">
        <w:rPr>
          <w:rFonts w:cs="Times New Roman"/>
          <w:color w:val="000000"/>
          <w:sz w:val="24"/>
          <w:szCs w:val="24"/>
        </w:rPr>
        <w:t>becomes an issue</w:t>
      </w:r>
      <w:r w:rsidR="00825E2C" w:rsidRPr="00B9018F">
        <w:rPr>
          <w:rFonts w:cs="Times New Roman"/>
          <w:color w:val="000000"/>
          <w:sz w:val="24"/>
          <w:szCs w:val="24"/>
        </w:rPr>
        <w:t xml:space="preserve"> any time that more than on</w:t>
      </w:r>
      <w:r w:rsidR="009642E1">
        <w:rPr>
          <w:rFonts w:cs="Times New Roman"/>
          <w:color w:val="000000"/>
          <w:sz w:val="24"/>
          <w:szCs w:val="24"/>
        </w:rPr>
        <w:t xml:space="preserve">e policy may respond to a risk, </w:t>
      </w:r>
      <w:r w:rsidR="00825E2C" w:rsidRPr="00B9018F">
        <w:rPr>
          <w:rFonts w:cs="Times New Roman"/>
          <w:color w:val="000000"/>
          <w:sz w:val="24"/>
          <w:szCs w:val="24"/>
        </w:rPr>
        <w:t xml:space="preserve">where the loss fits into more </w:t>
      </w:r>
      <w:r w:rsidR="009642E1">
        <w:rPr>
          <w:rFonts w:cs="Times New Roman"/>
          <w:color w:val="000000"/>
          <w:sz w:val="24"/>
          <w:szCs w:val="24"/>
        </w:rPr>
        <w:t xml:space="preserve">than one category of insurance, </w:t>
      </w:r>
      <w:r w:rsidR="00825E2C" w:rsidRPr="00B9018F">
        <w:rPr>
          <w:rFonts w:cs="Times New Roman"/>
          <w:color w:val="000000"/>
          <w:sz w:val="24"/>
          <w:szCs w:val="24"/>
        </w:rPr>
        <w:t>or where an insured is held liable for both covered and non-covered claims.</w:t>
      </w:r>
      <w:r w:rsidR="009642E1">
        <w:rPr>
          <w:rFonts w:cs="Times New Roman"/>
          <w:color w:val="000000"/>
          <w:sz w:val="24"/>
          <w:szCs w:val="24"/>
        </w:rPr>
        <w:t xml:space="preserve"> P</w:t>
      </w:r>
      <w:r w:rsidR="00825E2C" w:rsidRPr="00B9018F">
        <w:rPr>
          <w:rFonts w:cs="Times New Roman"/>
          <w:color w:val="000000"/>
          <w:sz w:val="24"/>
          <w:szCs w:val="24"/>
        </w:rPr>
        <w:t xml:space="preserve">roper allocation </w:t>
      </w:r>
      <w:r w:rsidR="009642E1">
        <w:rPr>
          <w:rFonts w:cs="Times New Roman"/>
          <w:color w:val="000000"/>
          <w:sz w:val="24"/>
          <w:szCs w:val="24"/>
        </w:rPr>
        <w:t>of loss may result in an insurer having no liability for certain claims</w:t>
      </w:r>
      <w:r w:rsidR="00825E2C" w:rsidRPr="00B9018F">
        <w:rPr>
          <w:rFonts w:cs="Times New Roman"/>
          <w:color w:val="000000"/>
          <w:sz w:val="24"/>
          <w:szCs w:val="24"/>
        </w:rPr>
        <w:t xml:space="preserve">. </w:t>
      </w:r>
      <w:r w:rsidR="001A7D4D" w:rsidRPr="00B9018F">
        <w:rPr>
          <w:rFonts w:cs="Times New Roman"/>
          <w:color w:val="000000"/>
          <w:sz w:val="24"/>
          <w:szCs w:val="24"/>
        </w:rPr>
        <w:t>The primary</w:t>
      </w:r>
      <w:r w:rsidR="0041564D" w:rsidRPr="00B9018F">
        <w:rPr>
          <w:rFonts w:cs="Times New Roman"/>
          <w:color w:val="000000"/>
          <w:sz w:val="24"/>
          <w:szCs w:val="24"/>
        </w:rPr>
        <w:t xml:space="preserve"> standards applied by courts in determining the allocation of loss between multiple policies include</w:t>
      </w:r>
      <w:r w:rsidR="00AA6B06" w:rsidRPr="00B9018F">
        <w:rPr>
          <w:rFonts w:cs="Times New Roman"/>
          <w:color w:val="000000"/>
          <w:sz w:val="24"/>
          <w:szCs w:val="24"/>
        </w:rPr>
        <w:t xml:space="preserve"> (</w:t>
      </w:r>
      <w:r w:rsidR="0041564D" w:rsidRPr="00B9018F">
        <w:rPr>
          <w:rFonts w:cs="Times New Roman"/>
          <w:color w:val="000000"/>
          <w:sz w:val="24"/>
          <w:szCs w:val="24"/>
        </w:rPr>
        <w:t xml:space="preserve">1) joint and several liability, </w:t>
      </w:r>
      <w:r w:rsidR="00AA6B06" w:rsidRPr="00B9018F">
        <w:rPr>
          <w:rFonts w:cs="Times New Roman"/>
          <w:color w:val="000000"/>
          <w:sz w:val="24"/>
          <w:szCs w:val="24"/>
        </w:rPr>
        <w:t xml:space="preserve">(2) </w:t>
      </w:r>
      <w:r w:rsidR="0041564D" w:rsidRPr="00B9018F">
        <w:rPr>
          <w:rFonts w:cs="Times New Roman"/>
          <w:color w:val="000000"/>
          <w:sz w:val="24"/>
          <w:szCs w:val="24"/>
        </w:rPr>
        <w:t xml:space="preserve">pro-ration by years, and </w:t>
      </w:r>
      <w:r w:rsidR="00AA6B06" w:rsidRPr="00B9018F">
        <w:rPr>
          <w:rFonts w:cs="Times New Roman"/>
          <w:color w:val="000000"/>
          <w:sz w:val="24"/>
          <w:szCs w:val="24"/>
        </w:rPr>
        <w:t>(3) pro-ration by years and limits.</w:t>
      </w:r>
      <w:r w:rsidR="00193840" w:rsidRPr="00B9018F">
        <w:rPr>
          <w:rStyle w:val="FootnoteReference"/>
          <w:rFonts w:cs="Times New Roman"/>
          <w:color w:val="000000"/>
          <w:sz w:val="24"/>
          <w:szCs w:val="24"/>
        </w:rPr>
        <w:footnoteReference w:id="51"/>
      </w:r>
      <w:r w:rsidR="00AA6B06" w:rsidRPr="00B9018F">
        <w:rPr>
          <w:rFonts w:cs="Times New Roman"/>
          <w:color w:val="000000"/>
          <w:sz w:val="24"/>
          <w:szCs w:val="24"/>
        </w:rPr>
        <w:t xml:space="preserve"> </w:t>
      </w:r>
    </w:p>
    <w:p w14:paraId="3B5E5999" w14:textId="77777777" w:rsidR="00C97570" w:rsidRPr="00B9018F" w:rsidRDefault="00C97570" w:rsidP="00AA6B06">
      <w:pPr>
        <w:autoSpaceDE w:val="0"/>
        <w:autoSpaceDN w:val="0"/>
        <w:spacing w:before="40" w:after="40"/>
        <w:ind w:firstLine="720"/>
        <w:jc w:val="both"/>
        <w:rPr>
          <w:rFonts w:cs="Times New Roman"/>
          <w:color w:val="000000"/>
          <w:sz w:val="24"/>
          <w:szCs w:val="24"/>
        </w:rPr>
      </w:pPr>
    </w:p>
    <w:p w14:paraId="4A27AF5D" w14:textId="6EAC231E" w:rsidR="008262AF" w:rsidRPr="00B9018F" w:rsidRDefault="00B83D32" w:rsidP="00AA6B06">
      <w:pPr>
        <w:autoSpaceDE w:val="0"/>
        <w:autoSpaceDN w:val="0"/>
        <w:spacing w:before="40" w:after="40"/>
        <w:ind w:firstLine="720"/>
        <w:jc w:val="both"/>
        <w:rPr>
          <w:rFonts w:cs="Times New Roman"/>
          <w:color w:val="000000"/>
          <w:sz w:val="24"/>
          <w:szCs w:val="24"/>
        </w:rPr>
      </w:pPr>
      <w:r w:rsidRPr="00B9018F">
        <w:rPr>
          <w:rFonts w:cs="Times New Roman"/>
          <w:color w:val="000000"/>
          <w:sz w:val="24"/>
          <w:szCs w:val="24"/>
        </w:rPr>
        <w:t xml:space="preserve">Allocation by joint and several liability </w:t>
      </w:r>
      <w:r w:rsidR="00AA6B06" w:rsidRPr="00B9018F">
        <w:rPr>
          <w:rFonts w:cs="Times New Roman"/>
          <w:color w:val="000000"/>
          <w:sz w:val="24"/>
          <w:szCs w:val="24"/>
        </w:rPr>
        <w:t xml:space="preserve">is the theory typically asserted by policyholders. Under this theory, policyholders utilize the </w:t>
      </w:r>
      <w:r w:rsidR="009442FB" w:rsidRPr="00B9018F">
        <w:rPr>
          <w:rFonts w:cs="Times New Roman"/>
          <w:color w:val="000000"/>
          <w:sz w:val="24"/>
          <w:szCs w:val="24"/>
        </w:rPr>
        <w:t>“</w:t>
      </w:r>
      <w:r w:rsidR="00AA6B06" w:rsidRPr="00B9018F">
        <w:rPr>
          <w:rFonts w:cs="Times New Roman"/>
          <w:color w:val="000000"/>
          <w:sz w:val="24"/>
          <w:szCs w:val="24"/>
        </w:rPr>
        <w:t>all sums</w:t>
      </w:r>
      <w:r w:rsidR="009442FB" w:rsidRPr="00B9018F">
        <w:rPr>
          <w:rFonts w:cs="Times New Roman"/>
          <w:color w:val="000000"/>
          <w:sz w:val="24"/>
          <w:szCs w:val="24"/>
        </w:rPr>
        <w:t>”</w:t>
      </w:r>
      <w:r w:rsidR="00AA6B06" w:rsidRPr="00B9018F">
        <w:rPr>
          <w:rFonts w:cs="Times New Roman"/>
          <w:color w:val="000000"/>
          <w:sz w:val="24"/>
          <w:szCs w:val="24"/>
        </w:rPr>
        <w:t xml:space="preserve"> language of the policy to select a single insurer of a trigger</w:t>
      </w:r>
      <w:r w:rsidR="00E72881" w:rsidRPr="00B9018F">
        <w:rPr>
          <w:rFonts w:cs="Times New Roman"/>
          <w:color w:val="000000"/>
          <w:sz w:val="24"/>
          <w:szCs w:val="24"/>
        </w:rPr>
        <w:t>ed</w:t>
      </w:r>
      <w:r w:rsidR="00AA6B06" w:rsidRPr="00B9018F">
        <w:rPr>
          <w:rFonts w:cs="Times New Roman"/>
          <w:color w:val="000000"/>
          <w:sz w:val="24"/>
          <w:szCs w:val="24"/>
        </w:rPr>
        <w:t xml:space="preserve"> policy to provide the initial indemnity obligation.</w:t>
      </w:r>
      <w:r w:rsidR="00AA6B06" w:rsidRPr="00B9018F">
        <w:rPr>
          <w:rStyle w:val="FootnoteReference"/>
          <w:rFonts w:cs="Times New Roman"/>
          <w:color w:val="000000"/>
          <w:sz w:val="24"/>
          <w:szCs w:val="24"/>
        </w:rPr>
        <w:footnoteReference w:id="52"/>
      </w:r>
      <w:r w:rsidR="00AA6B06" w:rsidRPr="00B9018F">
        <w:rPr>
          <w:rFonts w:cs="Times New Roman"/>
          <w:color w:val="000000"/>
          <w:sz w:val="24"/>
          <w:szCs w:val="24"/>
        </w:rPr>
        <w:t xml:space="preserve"> The selected insurer then becomes liable for the policy limits </w:t>
      </w:r>
      <w:r w:rsidR="00E72881" w:rsidRPr="00B9018F">
        <w:rPr>
          <w:rFonts w:cs="Times New Roman"/>
          <w:color w:val="000000"/>
          <w:sz w:val="24"/>
          <w:szCs w:val="24"/>
        </w:rPr>
        <w:t>that</w:t>
      </w:r>
      <w:r w:rsidR="00AA6B06" w:rsidRPr="00B9018F">
        <w:rPr>
          <w:rFonts w:cs="Times New Roman"/>
          <w:color w:val="000000"/>
          <w:sz w:val="24"/>
          <w:szCs w:val="24"/>
        </w:rPr>
        <w:t xml:space="preserve"> it is legally obligated to pay, which may include any amount for </w:t>
      </w:r>
      <w:r w:rsidR="00BD1126">
        <w:rPr>
          <w:rFonts w:cs="Times New Roman"/>
          <w:color w:val="000000"/>
          <w:sz w:val="24"/>
          <w:szCs w:val="24"/>
        </w:rPr>
        <w:t>“</w:t>
      </w:r>
      <w:r w:rsidR="00AA6B06" w:rsidRPr="00B9018F">
        <w:rPr>
          <w:rFonts w:cs="Times New Roman"/>
          <w:color w:val="000000"/>
          <w:sz w:val="24"/>
          <w:szCs w:val="24"/>
        </w:rPr>
        <w:t>bodily injury</w:t>
      </w:r>
      <w:r w:rsidR="00BD1126">
        <w:rPr>
          <w:rFonts w:cs="Times New Roman"/>
          <w:color w:val="000000"/>
          <w:sz w:val="24"/>
          <w:szCs w:val="24"/>
        </w:rPr>
        <w:t>”</w:t>
      </w:r>
      <w:r w:rsidR="00AA6B06" w:rsidRPr="00B9018F">
        <w:rPr>
          <w:rFonts w:cs="Times New Roman"/>
          <w:color w:val="000000"/>
          <w:sz w:val="24"/>
          <w:szCs w:val="24"/>
        </w:rPr>
        <w:t xml:space="preserve"> or </w:t>
      </w:r>
      <w:r w:rsidR="00BD1126">
        <w:rPr>
          <w:rFonts w:cs="Times New Roman"/>
          <w:color w:val="000000"/>
          <w:sz w:val="24"/>
          <w:szCs w:val="24"/>
        </w:rPr>
        <w:t>“</w:t>
      </w:r>
      <w:r w:rsidR="00AA6B06" w:rsidRPr="00B9018F">
        <w:rPr>
          <w:rFonts w:cs="Times New Roman"/>
          <w:color w:val="000000"/>
          <w:sz w:val="24"/>
          <w:szCs w:val="24"/>
        </w:rPr>
        <w:t>property damage</w:t>
      </w:r>
      <w:r w:rsidR="00BD1126">
        <w:rPr>
          <w:rFonts w:cs="Times New Roman"/>
          <w:color w:val="000000"/>
          <w:sz w:val="24"/>
          <w:szCs w:val="24"/>
        </w:rPr>
        <w:t>”</w:t>
      </w:r>
      <w:r w:rsidR="00AA6B06" w:rsidRPr="00B9018F">
        <w:rPr>
          <w:rFonts w:cs="Times New Roman"/>
          <w:color w:val="000000"/>
          <w:sz w:val="24"/>
          <w:szCs w:val="24"/>
        </w:rPr>
        <w:t xml:space="preserve"> </w:t>
      </w:r>
      <w:r w:rsidR="00E72881" w:rsidRPr="00B9018F">
        <w:rPr>
          <w:rFonts w:cs="Times New Roman"/>
          <w:color w:val="000000"/>
          <w:sz w:val="24"/>
          <w:szCs w:val="24"/>
        </w:rPr>
        <w:t>that</w:t>
      </w:r>
      <w:r w:rsidR="00AA6B06" w:rsidRPr="00B9018F">
        <w:rPr>
          <w:rFonts w:cs="Times New Roman"/>
          <w:color w:val="000000"/>
          <w:sz w:val="24"/>
          <w:szCs w:val="24"/>
        </w:rPr>
        <w:t xml:space="preserve"> could have </w:t>
      </w:r>
      <w:r w:rsidR="00E72881" w:rsidRPr="00B9018F">
        <w:rPr>
          <w:rFonts w:cs="Times New Roman"/>
          <w:color w:val="000000"/>
          <w:sz w:val="24"/>
          <w:szCs w:val="24"/>
        </w:rPr>
        <w:t>also occurred outside of that</w:t>
      </w:r>
      <w:r w:rsidR="00AA6B06" w:rsidRPr="00B9018F">
        <w:rPr>
          <w:rFonts w:cs="Times New Roman"/>
          <w:color w:val="000000"/>
          <w:sz w:val="24"/>
          <w:szCs w:val="24"/>
        </w:rPr>
        <w:t xml:space="preserve"> policy period.</w:t>
      </w:r>
      <w:r w:rsidR="00990A14" w:rsidRPr="00B9018F">
        <w:rPr>
          <w:rStyle w:val="FootnoteReference"/>
          <w:rFonts w:cs="Times New Roman"/>
          <w:color w:val="000000"/>
          <w:sz w:val="24"/>
          <w:szCs w:val="24"/>
        </w:rPr>
        <w:footnoteReference w:id="53"/>
      </w:r>
      <w:r w:rsidR="006D78F7" w:rsidRPr="00B9018F">
        <w:rPr>
          <w:rFonts w:cs="Times New Roman"/>
          <w:color w:val="000000"/>
          <w:sz w:val="24"/>
          <w:szCs w:val="24"/>
        </w:rPr>
        <w:t xml:space="preserve"> </w:t>
      </w:r>
      <w:r w:rsidR="00AA6B06" w:rsidRPr="00B9018F">
        <w:rPr>
          <w:rFonts w:cs="Times New Roman"/>
          <w:color w:val="000000"/>
          <w:sz w:val="24"/>
          <w:szCs w:val="24"/>
        </w:rPr>
        <w:t>Then, the onus is on the selected insurer to pursue cross-cla</w:t>
      </w:r>
      <w:r w:rsidR="00306D8B" w:rsidRPr="00B9018F">
        <w:rPr>
          <w:rFonts w:cs="Times New Roman"/>
          <w:color w:val="000000"/>
          <w:sz w:val="24"/>
          <w:szCs w:val="24"/>
        </w:rPr>
        <w:t>i</w:t>
      </w:r>
      <w:r w:rsidR="00AA6B06" w:rsidRPr="00B9018F">
        <w:rPr>
          <w:rFonts w:cs="Times New Roman"/>
          <w:color w:val="000000"/>
          <w:sz w:val="24"/>
          <w:szCs w:val="24"/>
        </w:rPr>
        <w:t xml:space="preserve">ms against other carriers whose policies were also </w:t>
      </w:r>
      <w:r w:rsidR="00BD1126">
        <w:rPr>
          <w:rFonts w:cs="Times New Roman"/>
          <w:color w:val="000000"/>
          <w:sz w:val="24"/>
          <w:szCs w:val="24"/>
        </w:rPr>
        <w:t>exposed</w:t>
      </w:r>
      <w:r w:rsidR="00AA6B06" w:rsidRPr="00B9018F">
        <w:rPr>
          <w:rFonts w:cs="Times New Roman"/>
          <w:color w:val="000000"/>
          <w:sz w:val="24"/>
          <w:szCs w:val="24"/>
        </w:rPr>
        <w:t>.</w:t>
      </w:r>
      <w:r w:rsidR="00990A14" w:rsidRPr="00B9018F">
        <w:rPr>
          <w:rStyle w:val="FootnoteReference"/>
          <w:rFonts w:cs="Times New Roman"/>
          <w:color w:val="000000"/>
          <w:sz w:val="24"/>
          <w:szCs w:val="24"/>
        </w:rPr>
        <w:footnoteReference w:id="54"/>
      </w:r>
      <w:r w:rsidR="00AA6B06" w:rsidRPr="00B9018F">
        <w:rPr>
          <w:rFonts w:cs="Times New Roman"/>
          <w:color w:val="000000"/>
          <w:sz w:val="24"/>
          <w:szCs w:val="24"/>
        </w:rPr>
        <w:t xml:space="preserve"> </w:t>
      </w:r>
      <w:r w:rsidR="00BB18AE" w:rsidRPr="00B9018F">
        <w:rPr>
          <w:rFonts w:cs="Times New Roman"/>
          <w:color w:val="000000"/>
          <w:sz w:val="24"/>
          <w:szCs w:val="24"/>
        </w:rPr>
        <w:t xml:space="preserve">In </w:t>
      </w:r>
      <w:r w:rsidR="00AA6B06" w:rsidRPr="00B9018F">
        <w:rPr>
          <w:rFonts w:cs="Times New Roman"/>
          <w:i/>
          <w:color w:val="000000"/>
          <w:sz w:val="24"/>
          <w:szCs w:val="24"/>
        </w:rPr>
        <w:t>Keene Corp. v. Insurance Co. of North America</w:t>
      </w:r>
      <w:r w:rsidR="00BB18AE" w:rsidRPr="00B9018F">
        <w:rPr>
          <w:rFonts w:cs="Times New Roman"/>
          <w:color w:val="000000"/>
          <w:sz w:val="24"/>
          <w:szCs w:val="24"/>
        </w:rPr>
        <w:t>,</w:t>
      </w:r>
      <w:r w:rsidR="00BB18AE" w:rsidRPr="00B9018F">
        <w:rPr>
          <w:rStyle w:val="FootnoteReference"/>
          <w:rFonts w:cs="Times New Roman"/>
          <w:color w:val="000000"/>
          <w:sz w:val="24"/>
          <w:szCs w:val="24"/>
        </w:rPr>
        <w:footnoteReference w:id="55"/>
      </w:r>
      <w:r w:rsidR="00BB18AE" w:rsidRPr="00B9018F">
        <w:rPr>
          <w:rFonts w:cs="Times New Roman"/>
          <w:color w:val="000000"/>
          <w:sz w:val="24"/>
          <w:szCs w:val="24"/>
        </w:rPr>
        <w:t xml:space="preserve"> for example, </w:t>
      </w:r>
      <w:r w:rsidR="00AA6B06" w:rsidRPr="00B9018F">
        <w:rPr>
          <w:rFonts w:cs="Times New Roman"/>
          <w:color w:val="000000"/>
          <w:sz w:val="24"/>
          <w:szCs w:val="24"/>
        </w:rPr>
        <w:t xml:space="preserve">the </w:t>
      </w:r>
      <w:r w:rsidR="00BB18AE" w:rsidRPr="00B9018F">
        <w:rPr>
          <w:rFonts w:cs="Times New Roman"/>
          <w:color w:val="000000"/>
          <w:sz w:val="24"/>
          <w:szCs w:val="24"/>
        </w:rPr>
        <w:t>c</w:t>
      </w:r>
      <w:r w:rsidR="00AA6B06" w:rsidRPr="00B9018F">
        <w:rPr>
          <w:rFonts w:cs="Times New Roman"/>
          <w:color w:val="000000"/>
          <w:sz w:val="24"/>
          <w:szCs w:val="24"/>
        </w:rPr>
        <w:t xml:space="preserve">ourt </w:t>
      </w:r>
      <w:r w:rsidR="00E72881" w:rsidRPr="00B9018F">
        <w:rPr>
          <w:rFonts w:cs="Times New Roman"/>
          <w:color w:val="000000"/>
          <w:sz w:val="24"/>
          <w:szCs w:val="24"/>
        </w:rPr>
        <w:t xml:space="preserve">held </w:t>
      </w:r>
      <w:r w:rsidR="00AA6B06" w:rsidRPr="00B9018F">
        <w:rPr>
          <w:rFonts w:cs="Times New Roman"/>
          <w:color w:val="000000"/>
          <w:sz w:val="24"/>
          <w:szCs w:val="24"/>
        </w:rPr>
        <w:t xml:space="preserve">that once a particular CGL policy </w:t>
      </w:r>
      <w:r w:rsidR="00E72881" w:rsidRPr="00B9018F">
        <w:rPr>
          <w:rFonts w:cs="Times New Roman"/>
          <w:color w:val="000000"/>
          <w:sz w:val="24"/>
          <w:szCs w:val="24"/>
        </w:rPr>
        <w:t>is</w:t>
      </w:r>
      <w:r w:rsidR="00AA6B06" w:rsidRPr="00B9018F">
        <w:rPr>
          <w:rFonts w:cs="Times New Roman"/>
          <w:color w:val="000000"/>
          <w:sz w:val="24"/>
          <w:szCs w:val="24"/>
        </w:rPr>
        <w:t xml:space="preserve"> triggered, the insurer is required to fully indemnify the policyholder for the entire loss up to its policy limits even though part of the injury may have occurred during another policy period or while the policyholder was uninsured.</w:t>
      </w:r>
      <w:r w:rsidR="00BB18AE" w:rsidRPr="00B9018F">
        <w:rPr>
          <w:rStyle w:val="FootnoteReference"/>
          <w:rFonts w:cs="Times New Roman"/>
          <w:color w:val="000000"/>
          <w:sz w:val="24"/>
          <w:szCs w:val="24"/>
        </w:rPr>
        <w:footnoteReference w:id="56"/>
      </w:r>
      <w:r w:rsidR="00AA6B06" w:rsidRPr="00B9018F">
        <w:rPr>
          <w:rFonts w:cs="Times New Roman"/>
          <w:color w:val="000000"/>
          <w:sz w:val="24"/>
          <w:szCs w:val="24"/>
        </w:rPr>
        <w:t xml:space="preserve"> The </w:t>
      </w:r>
      <w:r w:rsidR="00BB18AE" w:rsidRPr="00B9018F">
        <w:rPr>
          <w:rFonts w:cs="Times New Roman"/>
          <w:color w:val="000000"/>
          <w:sz w:val="24"/>
          <w:szCs w:val="24"/>
        </w:rPr>
        <w:t>court concluded</w:t>
      </w:r>
      <w:r w:rsidR="00AA6B06" w:rsidRPr="00B9018F">
        <w:rPr>
          <w:rFonts w:cs="Times New Roman"/>
          <w:color w:val="000000"/>
          <w:sz w:val="24"/>
          <w:szCs w:val="24"/>
        </w:rPr>
        <w:t xml:space="preserve"> that </w:t>
      </w:r>
      <w:r w:rsidR="00BB18AE" w:rsidRPr="00B9018F">
        <w:rPr>
          <w:rFonts w:cs="Times New Roman"/>
          <w:color w:val="000000"/>
          <w:sz w:val="24"/>
          <w:szCs w:val="24"/>
        </w:rPr>
        <w:t xml:space="preserve">because </w:t>
      </w:r>
      <w:r w:rsidR="00AA6B06" w:rsidRPr="00B9018F">
        <w:rPr>
          <w:rFonts w:cs="Times New Roman"/>
          <w:color w:val="000000"/>
          <w:sz w:val="24"/>
          <w:szCs w:val="24"/>
        </w:rPr>
        <w:t xml:space="preserve">each policy issued from the date of initial </w:t>
      </w:r>
      <w:r w:rsidR="00BB18AE" w:rsidRPr="00B9018F">
        <w:rPr>
          <w:rFonts w:cs="Times New Roman"/>
          <w:color w:val="000000"/>
          <w:sz w:val="24"/>
          <w:szCs w:val="24"/>
        </w:rPr>
        <w:t xml:space="preserve">asbestos </w:t>
      </w:r>
      <w:r w:rsidR="00AA6B06" w:rsidRPr="00B9018F">
        <w:rPr>
          <w:rFonts w:cs="Times New Roman"/>
          <w:color w:val="000000"/>
          <w:sz w:val="24"/>
          <w:szCs w:val="24"/>
        </w:rPr>
        <w:t xml:space="preserve">inhalation until the date of manifestation </w:t>
      </w:r>
      <w:r w:rsidR="00BB18AE" w:rsidRPr="00B9018F">
        <w:rPr>
          <w:rFonts w:cs="Times New Roman"/>
          <w:color w:val="000000"/>
          <w:sz w:val="24"/>
          <w:szCs w:val="24"/>
        </w:rPr>
        <w:t xml:space="preserve">had been </w:t>
      </w:r>
      <w:r w:rsidR="00AA6B06" w:rsidRPr="00B9018F">
        <w:rPr>
          <w:rFonts w:cs="Times New Roman"/>
          <w:color w:val="000000"/>
          <w:sz w:val="24"/>
          <w:szCs w:val="24"/>
        </w:rPr>
        <w:t>triggered</w:t>
      </w:r>
      <w:r w:rsidR="00BB18AE" w:rsidRPr="00B9018F">
        <w:rPr>
          <w:rFonts w:cs="Times New Roman"/>
          <w:color w:val="000000"/>
          <w:sz w:val="24"/>
          <w:szCs w:val="24"/>
        </w:rPr>
        <w:t>,</w:t>
      </w:r>
      <w:r w:rsidR="00AA6B06" w:rsidRPr="00B9018F">
        <w:rPr>
          <w:rFonts w:cs="Times New Roman"/>
          <w:color w:val="000000"/>
          <w:sz w:val="24"/>
          <w:szCs w:val="24"/>
        </w:rPr>
        <w:t xml:space="preserve"> each insurer had an obligation to provide the policyholder with full coverage.</w:t>
      </w:r>
      <w:r w:rsidR="00BB18AE" w:rsidRPr="00B9018F">
        <w:rPr>
          <w:rStyle w:val="FootnoteReference"/>
          <w:rFonts w:cs="Times New Roman"/>
          <w:color w:val="000000"/>
          <w:sz w:val="24"/>
          <w:szCs w:val="24"/>
        </w:rPr>
        <w:footnoteReference w:id="57"/>
      </w:r>
      <w:r w:rsidR="0028599B" w:rsidRPr="00B9018F">
        <w:rPr>
          <w:rFonts w:cs="Times New Roman"/>
          <w:color w:val="000000"/>
          <w:sz w:val="24"/>
          <w:szCs w:val="24"/>
        </w:rPr>
        <w:t xml:space="preserve"> </w:t>
      </w:r>
    </w:p>
    <w:p w14:paraId="714DA26C" w14:textId="77777777" w:rsidR="0028599B" w:rsidRPr="00B9018F" w:rsidRDefault="0028599B" w:rsidP="00AA6B06">
      <w:pPr>
        <w:autoSpaceDE w:val="0"/>
        <w:autoSpaceDN w:val="0"/>
        <w:spacing w:before="40" w:after="40"/>
        <w:ind w:firstLine="720"/>
        <w:jc w:val="both"/>
        <w:rPr>
          <w:rFonts w:cs="Times New Roman"/>
          <w:color w:val="000000"/>
          <w:sz w:val="24"/>
          <w:szCs w:val="24"/>
        </w:rPr>
      </w:pPr>
    </w:p>
    <w:p w14:paraId="14007DDF" w14:textId="168AB3E2" w:rsidR="008262AF" w:rsidRPr="00B9018F" w:rsidRDefault="008262AF" w:rsidP="008262AF">
      <w:pPr>
        <w:jc w:val="both"/>
        <w:rPr>
          <w:sz w:val="24"/>
          <w:szCs w:val="24"/>
        </w:rPr>
      </w:pPr>
      <w:r w:rsidRPr="00B9018F">
        <w:rPr>
          <w:sz w:val="24"/>
          <w:szCs w:val="24"/>
        </w:rPr>
        <w:tab/>
      </w:r>
      <w:r w:rsidR="00BD1126">
        <w:rPr>
          <w:sz w:val="24"/>
          <w:szCs w:val="24"/>
        </w:rPr>
        <w:t>Another</w:t>
      </w:r>
      <w:r w:rsidRPr="00B9018F">
        <w:rPr>
          <w:sz w:val="24"/>
          <w:szCs w:val="24"/>
        </w:rPr>
        <w:t xml:space="preserve"> allocation method utilized is pro-ration by years, alternatively known as </w:t>
      </w:r>
      <w:r w:rsidR="009442FB" w:rsidRPr="00B9018F">
        <w:rPr>
          <w:sz w:val="24"/>
          <w:szCs w:val="24"/>
        </w:rPr>
        <w:t>“</w:t>
      </w:r>
      <w:r w:rsidRPr="00B9018F">
        <w:rPr>
          <w:sz w:val="24"/>
          <w:szCs w:val="24"/>
        </w:rPr>
        <w:t>time on the risk.</w:t>
      </w:r>
      <w:r w:rsidR="009442FB" w:rsidRPr="00B9018F">
        <w:rPr>
          <w:sz w:val="24"/>
          <w:szCs w:val="24"/>
        </w:rPr>
        <w:t>”</w:t>
      </w:r>
      <w:r w:rsidRPr="00B9018F">
        <w:rPr>
          <w:sz w:val="24"/>
          <w:szCs w:val="24"/>
        </w:rPr>
        <w:t xml:space="preserve"> This theory rejects </w:t>
      </w:r>
      <w:r w:rsidR="00306D8B" w:rsidRPr="00B9018F">
        <w:rPr>
          <w:sz w:val="24"/>
          <w:szCs w:val="24"/>
        </w:rPr>
        <w:t xml:space="preserve">the </w:t>
      </w:r>
      <w:r w:rsidRPr="00B9018F">
        <w:rPr>
          <w:sz w:val="24"/>
          <w:szCs w:val="24"/>
        </w:rPr>
        <w:t>interpretation that</w:t>
      </w:r>
      <w:r w:rsidR="00E72881" w:rsidRPr="00B9018F">
        <w:rPr>
          <w:sz w:val="24"/>
          <w:szCs w:val="24"/>
        </w:rPr>
        <w:t xml:space="preserve"> the</w:t>
      </w:r>
      <w:r w:rsidRPr="00B9018F">
        <w:rPr>
          <w:sz w:val="24"/>
          <w:szCs w:val="24"/>
        </w:rPr>
        <w:t xml:space="preserve"> </w:t>
      </w:r>
      <w:r w:rsidR="009442FB" w:rsidRPr="00B9018F">
        <w:rPr>
          <w:sz w:val="24"/>
          <w:szCs w:val="24"/>
        </w:rPr>
        <w:t>“</w:t>
      </w:r>
      <w:r w:rsidRPr="00B9018F">
        <w:rPr>
          <w:sz w:val="24"/>
          <w:szCs w:val="24"/>
        </w:rPr>
        <w:t>all sums</w:t>
      </w:r>
      <w:r w:rsidR="009442FB" w:rsidRPr="00B9018F">
        <w:rPr>
          <w:sz w:val="24"/>
          <w:szCs w:val="24"/>
        </w:rPr>
        <w:t>”</w:t>
      </w:r>
      <w:r w:rsidRPr="00B9018F">
        <w:rPr>
          <w:sz w:val="24"/>
          <w:szCs w:val="24"/>
        </w:rPr>
        <w:t xml:space="preserve"> language in standard liability policies obligates the carrier to exhaust policy limits for losses </w:t>
      </w:r>
      <w:r w:rsidR="00E72881" w:rsidRPr="00B9018F">
        <w:rPr>
          <w:sz w:val="24"/>
          <w:szCs w:val="24"/>
        </w:rPr>
        <w:t>that</w:t>
      </w:r>
      <w:r w:rsidRPr="00B9018F">
        <w:rPr>
          <w:sz w:val="24"/>
          <w:szCs w:val="24"/>
        </w:rPr>
        <w:t xml:space="preserve"> occurred outside </w:t>
      </w:r>
      <w:r w:rsidR="00E72881" w:rsidRPr="00B9018F">
        <w:rPr>
          <w:sz w:val="24"/>
          <w:szCs w:val="24"/>
        </w:rPr>
        <w:t xml:space="preserve">the </w:t>
      </w:r>
      <w:r w:rsidRPr="00B9018F">
        <w:rPr>
          <w:sz w:val="24"/>
          <w:szCs w:val="24"/>
        </w:rPr>
        <w:t>policy period.</w:t>
      </w:r>
      <w:r w:rsidRPr="00B9018F">
        <w:rPr>
          <w:rStyle w:val="FootnoteReference"/>
          <w:sz w:val="24"/>
          <w:szCs w:val="24"/>
        </w:rPr>
        <w:footnoteReference w:id="58"/>
      </w:r>
      <w:r w:rsidRPr="00B9018F">
        <w:rPr>
          <w:sz w:val="24"/>
          <w:szCs w:val="24"/>
        </w:rPr>
        <w:t xml:space="preserve"> Under this theory, each triggered policy bears a share of the total damages proportionate to the number of years it was </w:t>
      </w:r>
      <w:r w:rsidR="009442FB" w:rsidRPr="00B9018F">
        <w:rPr>
          <w:sz w:val="24"/>
          <w:szCs w:val="24"/>
        </w:rPr>
        <w:t>“</w:t>
      </w:r>
      <w:r w:rsidRPr="00B9018F">
        <w:rPr>
          <w:sz w:val="24"/>
          <w:szCs w:val="24"/>
        </w:rPr>
        <w:t>on the risk,</w:t>
      </w:r>
      <w:r w:rsidR="009442FB" w:rsidRPr="00B9018F">
        <w:rPr>
          <w:sz w:val="24"/>
          <w:szCs w:val="24"/>
        </w:rPr>
        <w:t>”</w:t>
      </w:r>
      <w:r w:rsidRPr="00B9018F">
        <w:rPr>
          <w:sz w:val="24"/>
          <w:szCs w:val="24"/>
        </w:rPr>
        <w:t xml:space="preserve"> relative to the total number of years of triggered coverage.</w:t>
      </w:r>
      <w:r w:rsidRPr="00B9018F">
        <w:rPr>
          <w:rStyle w:val="FootnoteReference"/>
          <w:sz w:val="24"/>
          <w:szCs w:val="24"/>
        </w:rPr>
        <w:footnoteReference w:id="59"/>
      </w:r>
      <w:r w:rsidRPr="00B9018F">
        <w:rPr>
          <w:sz w:val="24"/>
          <w:szCs w:val="24"/>
        </w:rPr>
        <w:t xml:space="preserve"> The </w:t>
      </w:r>
      <w:r w:rsidR="00BD1126">
        <w:rPr>
          <w:sz w:val="24"/>
          <w:szCs w:val="24"/>
        </w:rPr>
        <w:t xml:space="preserve">Sixth Circuit evaluated the pro </w:t>
      </w:r>
      <w:r w:rsidRPr="00B9018F">
        <w:rPr>
          <w:sz w:val="24"/>
          <w:szCs w:val="24"/>
        </w:rPr>
        <w:t xml:space="preserve">rata by years approach in </w:t>
      </w:r>
      <w:r w:rsidRPr="00B9018F">
        <w:rPr>
          <w:i/>
          <w:sz w:val="24"/>
          <w:szCs w:val="24"/>
        </w:rPr>
        <w:t>Insurance Co. of North America v. Forty-Eight Insulations, Inc.</w:t>
      </w:r>
      <w:r w:rsidRPr="00B9018F">
        <w:rPr>
          <w:sz w:val="24"/>
          <w:szCs w:val="24"/>
        </w:rPr>
        <w:t xml:space="preserve">, where it held that indemnification and defense costs should be split among all of the insurance companies </w:t>
      </w:r>
      <w:r w:rsidR="00E72881" w:rsidRPr="00B9018F">
        <w:rPr>
          <w:sz w:val="24"/>
          <w:szCs w:val="24"/>
        </w:rPr>
        <w:t xml:space="preserve">that </w:t>
      </w:r>
      <w:r w:rsidRPr="00B9018F">
        <w:rPr>
          <w:sz w:val="24"/>
          <w:szCs w:val="24"/>
        </w:rPr>
        <w:t>were on the risk while the injured victim was exposed to asbestos.</w:t>
      </w:r>
      <w:r w:rsidRPr="00B9018F">
        <w:rPr>
          <w:rStyle w:val="FootnoteReference"/>
          <w:sz w:val="24"/>
          <w:szCs w:val="24"/>
        </w:rPr>
        <w:footnoteReference w:id="60"/>
      </w:r>
      <w:r w:rsidRPr="00B9018F">
        <w:rPr>
          <w:sz w:val="24"/>
          <w:szCs w:val="24"/>
        </w:rPr>
        <w:t xml:space="preserve"> Courts in a number of jurisdictions have adopted this approach based on a belief that public policy demands a more equal approach given the nature of the harm.</w:t>
      </w:r>
      <w:r w:rsidRPr="00B9018F">
        <w:rPr>
          <w:rStyle w:val="FootnoteReference"/>
          <w:sz w:val="24"/>
          <w:szCs w:val="24"/>
        </w:rPr>
        <w:footnoteReference w:id="61"/>
      </w:r>
      <w:r w:rsidRPr="00B9018F">
        <w:rPr>
          <w:sz w:val="24"/>
          <w:szCs w:val="24"/>
        </w:rPr>
        <w:t xml:space="preserve"> </w:t>
      </w:r>
    </w:p>
    <w:p w14:paraId="71E9907A" w14:textId="77777777" w:rsidR="008262AF" w:rsidRPr="00B9018F" w:rsidRDefault="008262AF" w:rsidP="008262AF">
      <w:pPr>
        <w:rPr>
          <w:sz w:val="24"/>
          <w:szCs w:val="24"/>
        </w:rPr>
      </w:pPr>
    </w:p>
    <w:p w14:paraId="28588891" w14:textId="7B1F0A1A" w:rsidR="008262AF" w:rsidRPr="00B9018F" w:rsidRDefault="008262AF" w:rsidP="00090912">
      <w:pPr>
        <w:jc w:val="both"/>
        <w:rPr>
          <w:sz w:val="24"/>
          <w:szCs w:val="24"/>
        </w:rPr>
      </w:pPr>
      <w:r w:rsidRPr="00B9018F">
        <w:rPr>
          <w:sz w:val="24"/>
          <w:szCs w:val="24"/>
        </w:rPr>
        <w:tab/>
      </w:r>
      <w:r w:rsidR="008B0B05" w:rsidRPr="00B9018F">
        <w:rPr>
          <w:rFonts w:cs="Times New Roman"/>
          <w:color w:val="000000"/>
          <w:sz w:val="24"/>
          <w:szCs w:val="24"/>
        </w:rPr>
        <w:t xml:space="preserve">Other jurisdictions apply a slightly different rule of pro-ration by years and limits. </w:t>
      </w:r>
      <w:r w:rsidR="008B0B05" w:rsidRPr="00B9018F">
        <w:rPr>
          <w:sz w:val="24"/>
          <w:szCs w:val="24"/>
        </w:rPr>
        <w:t xml:space="preserve">Recognizing that </w:t>
      </w:r>
      <w:r w:rsidRPr="00B9018F">
        <w:rPr>
          <w:sz w:val="24"/>
          <w:szCs w:val="24"/>
        </w:rPr>
        <w:t xml:space="preserve">pro-ration by years could result in a policy with </w:t>
      </w:r>
      <w:r w:rsidR="008B0B05" w:rsidRPr="00B9018F">
        <w:rPr>
          <w:sz w:val="24"/>
          <w:szCs w:val="24"/>
        </w:rPr>
        <w:t xml:space="preserve">comparatively </w:t>
      </w:r>
      <w:r w:rsidRPr="00B9018F">
        <w:rPr>
          <w:sz w:val="24"/>
          <w:szCs w:val="24"/>
        </w:rPr>
        <w:t xml:space="preserve">low limits being </w:t>
      </w:r>
      <w:r w:rsidR="008B0B05" w:rsidRPr="00B9018F">
        <w:rPr>
          <w:sz w:val="24"/>
          <w:szCs w:val="24"/>
        </w:rPr>
        <w:t xml:space="preserve">disproportionately </w:t>
      </w:r>
      <w:r w:rsidRPr="00B9018F">
        <w:rPr>
          <w:sz w:val="24"/>
          <w:szCs w:val="24"/>
        </w:rPr>
        <w:t>liable for the same amount as a policy with much greater limits</w:t>
      </w:r>
      <w:r w:rsidR="008B0B05" w:rsidRPr="00B9018F">
        <w:rPr>
          <w:sz w:val="24"/>
          <w:szCs w:val="24"/>
        </w:rPr>
        <w:t xml:space="preserve">, </w:t>
      </w:r>
      <w:r w:rsidR="00BD1126">
        <w:rPr>
          <w:sz w:val="24"/>
          <w:szCs w:val="24"/>
        </w:rPr>
        <w:t xml:space="preserve">some </w:t>
      </w:r>
      <w:r w:rsidR="008B0B05" w:rsidRPr="00B9018F">
        <w:rPr>
          <w:sz w:val="24"/>
          <w:szCs w:val="24"/>
        </w:rPr>
        <w:t>c</w:t>
      </w:r>
      <w:r w:rsidRPr="00B9018F">
        <w:rPr>
          <w:sz w:val="24"/>
          <w:szCs w:val="24"/>
        </w:rPr>
        <w:t xml:space="preserve">ourts have </w:t>
      </w:r>
      <w:r w:rsidR="00BD1126">
        <w:rPr>
          <w:sz w:val="24"/>
          <w:szCs w:val="24"/>
        </w:rPr>
        <w:t>modified the basic pro r</w:t>
      </w:r>
      <w:r w:rsidR="008B0B05" w:rsidRPr="00B9018F">
        <w:rPr>
          <w:sz w:val="24"/>
          <w:szCs w:val="24"/>
        </w:rPr>
        <w:t>ata by years standard.</w:t>
      </w:r>
      <w:r w:rsidR="008B0B05" w:rsidRPr="00B9018F">
        <w:rPr>
          <w:rStyle w:val="FootnoteReference"/>
          <w:sz w:val="24"/>
          <w:szCs w:val="24"/>
        </w:rPr>
        <w:footnoteReference w:id="62"/>
      </w:r>
      <w:r w:rsidRPr="00B9018F">
        <w:rPr>
          <w:sz w:val="24"/>
          <w:szCs w:val="24"/>
        </w:rPr>
        <w:t xml:space="preserve"> </w:t>
      </w:r>
      <w:r w:rsidR="00BD1126">
        <w:rPr>
          <w:sz w:val="24"/>
          <w:szCs w:val="24"/>
        </w:rPr>
        <w:t xml:space="preserve">As the name suggests, the pro </w:t>
      </w:r>
      <w:r w:rsidR="006E4131" w:rsidRPr="00B9018F">
        <w:rPr>
          <w:sz w:val="24"/>
          <w:szCs w:val="24"/>
        </w:rPr>
        <w:t>rata by years and limits model allocates insurers</w:t>
      </w:r>
      <w:r w:rsidR="009442FB" w:rsidRPr="00B9018F">
        <w:rPr>
          <w:sz w:val="24"/>
          <w:szCs w:val="24"/>
        </w:rPr>
        <w:t>’</w:t>
      </w:r>
      <w:r w:rsidR="006E4131" w:rsidRPr="00B9018F">
        <w:rPr>
          <w:sz w:val="24"/>
          <w:szCs w:val="24"/>
        </w:rPr>
        <w:t xml:space="preserve"> indemnity obligations based on both the number of years a particular policy is </w:t>
      </w:r>
      <w:r w:rsidR="009442FB" w:rsidRPr="00B9018F">
        <w:rPr>
          <w:sz w:val="24"/>
          <w:szCs w:val="24"/>
        </w:rPr>
        <w:t>“</w:t>
      </w:r>
      <w:r w:rsidR="006E4131" w:rsidRPr="00B9018F">
        <w:rPr>
          <w:sz w:val="24"/>
          <w:szCs w:val="24"/>
        </w:rPr>
        <w:t>on the risk</w:t>
      </w:r>
      <w:r w:rsidR="009442FB" w:rsidRPr="00B9018F">
        <w:rPr>
          <w:sz w:val="24"/>
          <w:szCs w:val="24"/>
        </w:rPr>
        <w:t>”</w:t>
      </w:r>
      <w:r w:rsidR="006E4131" w:rsidRPr="00B9018F">
        <w:rPr>
          <w:sz w:val="24"/>
          <w:szCs w:val="24"/>
        </w:rPr>
        <w:t xml:space="preserve"> </w:t>
      </w:r>
      <w:r w:rsidR="006E4131" w:rsidRPr="00B9018F">
        <w:rPr>
          <w:i/>
          <w:sz w:val="24"/>
          <w:szCs w:val="24"/>
        </w:rPr>
        <w:t xml:space="preserve">and </w:t>
      </w:r>
      <w:r w:rsidR="006E4131" w:rsidRPr="00B9018F">
        <w:rPr>
          <w:sz w:val="24"/>
          <w:szCs w:val="24"/>
        </w:rPr>
        <w:t>that policy</w:t>
      </w:r>
      <w:r w:rsidR="009442FB" w:rsidRPr="00B9018F">
        <w:rPr>
          <w:sz w:val="24"/>
          <w:szCs w:val="24"/>
        </w:rPr>
        <w:t>’</w:t>
      </w:r>
      <w:r w:rsidR="006E4131" w:rsidRPr="00B9018F">
        <w:rPr>
          <w:sz w:val="24"/>
          <w:szCs w:val="24"/>
        </w:rPr>
        <w:t>s limits of liability.</w:t>
      </w:r>
      <w:r w:rsidR="006E4131" w:rsidRPr="00B9018F">
        <w:rPr>
          <w:rStyle w:val="FootnoteReference"/>
          <w:sz w:val="24"/>
          <w:szCs w:val="24"/>
        </w:rPr>
        <w:footnoteReference w:id="63"/>
      </w:r>
      <w:r w:rsidR="006E4131" w:rsidRPr="00B9018F">
        <w:rPr>
          <w:sz w:val="24"/>
          <w:szCs w:val="24"/>
        </w:rPr>
        <w:t xml:space="preserve"> Each insurer</w:t>
      </w:r>
      <w:r w:rsidR="009442FB" w:rsidRPr="00B9018F">
        <w:rPr>
          <w:sz w:val="24"/>
          <w:szCs w:val="24"/>
        </w:rPr>
        <w:t>’</w:t>
      </w:r>
      <w:r w:rsidR="006E4131" w:rsidRPr="00B9018F">
        <w:rPr>
          <w:sz w:val="24"/>
          <w:szCs w:val="24"/>
        </w:rPr>
        <w:t>s liability is determined by comparing its particular exposure to the total exposure assumed by all insurers under the applicable policies, yielding a percentage that is then applied to the amount of loss the policyholder sustained.</w:t>
      </w:r>
      <w:r w:rsidR="006E4131" w:rsidRPr="00B9018F">
        <w:rPr>
          <w:rStyle w:val="FootnoteReference"/>
          <w:sz w:val="24"/>
          <w:szCs w:val="24"/>
        </w:rPr>
        <w:footnoteReference w:id="64"/>
      </w:r>
      <w:r w:rsidR="006E4131" w:rsidRPr="00B9018F">
        <w:rPr>
          <w:sz w:val="24"/>
          <w:szCs w:val="24"/>
        </w:rPr>
        <w:t xml:space="preserve"> In </w:t>
      </w:r>
      <w:r w:rsidR="00BD1126">
        <w:rPr>
          <w:sz w:val="24"/>
          <w:szCs w:val="24"/>
        </w:rPr>
        <w:t>a</w:t>
      </w:r>
      <w:r w:rsidR="00090912" w:rsidRPr="00B9018F">
        <w:rPr>
          <w:sz w:val="24"/>
          <w:szCs w:val="24"/>
        </w:rPr>
        <w:t xml:space="preserve"> seminal case, </w:t>
      </w:r>
      <w:r w:rsidR="00090912" w:rsidRPr="00B9018F">
        <w:rPr>
          <w:i/>
          <w:sz w:val="24"/>
          <w:szCs w:val="24"/>
        </w:rPr>
        <w:t>Owens-Illinois, Inc. v. United Ins. Co.</w:t>
      </w:r>
      <w:r w:rsidR="00090912" w:rsidRPr="00B9018F">
        <w:rPr>
          <w:sz w:val="24"/>
          <w:szCs w:val="24"/>
        </w:rPr>
        <w:t xml:space="preserve">, the Supreme Court of New </w:t>
      </w:r>
      <w:r w:rsidR="00D95DEE" w:rsidRPr="00B9018F">
        <w:rPr>
          <w:sz w:val="24"/>
          <w:szCs w:val="24"/>
        </w:rPr>
        <w:t xml:space="preserve">Jersey </w:t>
      </w:r>
      <w:r w:rsidR="00090912" w:rsidRPr="00B9018F">
        <w:rPr>
          <w:sz w:val="24"/>
          <w:szCs w:val="24"/>
        </w:rPr>
        <w:t>look</w:t>
      </w:r>
      <w:r w:rsidR="00C02BBC" w:rsidRPr="00B9018F">
        <w:rPr>
          <w:sz w:val="24"/>
          <w:szCs w:val="24"/>
        </w:rPr>
        <w:t>ed</w:t>
      </w:r>
      <w:r w:rsidR="00090912" w:rsidRPr="00B9018F">
        <w:rPr>
          <w:sz w:val="24"/>
          <w:szCs w:val="24"/>
        </w:rPr>
        <w:t xml:space="preserve"> to public policy for guidance when it </w:t>
      </w:r>
      <w:r w:rsidR="00C02BBC" w:rsidRPr="00B9018F">
        <w:rPr>
          <w:sz w:val="24"/>
          <w:szCs w:val="24"/>
        </w:rPr>
        <w:t xml:space="preserve">found </w:t>
      </w:r>
      <w:r w:rsidR="00090912" w:rsidRPr="00B9018F">
        <w:rPr>
          <w:sz w:val="24"/>
          <w:szCs w:val="24"/>
        </w:rPr>
        <w:t>that the applicable insurance policies failed to consider long latency claims involving mass torts.</w:t>
      </w:r>
      <w:r w:rsidR="00090912" w:rsidRPr="00B9018F">
        <w:rPr>
          <w:rStyle w:val="FootnoteReference"/>
          <w:sz w:val="24"/>
          <w:szCs w:val="24"/>
        </w:rPr>
        <w:footnoteReference w:id="65"/>
      </w:r>
      <w:r w:rsidR="00090912" w:rsidRPr="00B9018F">
        <w:rPr>
          <w:sz w:val="24"/>
          <w:szCs w:val="24"/>
        </w:rPr>
        <w:t xml:space="preserve"> Motivated principally by the efficient use of resources in response to mass torts, the </w:t>
      </w:r>
      <w:r w:rsidR="00090912" w:rsidRPr="00B9018F">
        <w:rPr>
          <w:i/>
          <w:sz w:val="24"/>
          <w:szCs w:val="24"/>
        </w:rPr>
        <w:t xml:space="preserve">Owens-Illinois </w:t>
      </w:r>
      <w:r w:rsidR="00090912" w:rsidRPr="00B9018F">
        <w:rPr>
          <w:sz w:val="24"/>
          <w:szCs w:val="24"/>
        </w:rPr>
        <w:t>court found the strai</w:t>
      </w:r>
      <w:r w:rsidR="00BD1126">
        <w:rPr>
          <w:sz w:val="24"/>
          <w:szCs w:val="24"/>
        </w:rPr>
        <w:t xml:space="preserve">ght line progression in the pro </w:t>
      </w:r>
      <w:r w:rsidR="00090912" w:rsidRPr="00B9018F">
        <w:rPr>
          <w:sz w:val="24"/>
          <w:szCs w:val="24"/>
        </w:rPr>
        <w:t xml:space="preserve">rata by </w:t>
      </w:r>
      <w:r w:rsidR="00BD1126">
        <w:rPr>
          <w:sz w:val="24"/>
          <w:szCs w:val="24"/>
        </w:rPr>
        <w:t>y</w:t>
      </w:r>
      <w:r w:rsidR="00090912" w:rsidRPr="00B9018F">
        <w:rPr>
          <w:sz w:val="24"/>
          <w:szCs w:val="24"/>
        </w:rPr>
        <w:t>ears model to be inappropriate, instead holding that</w:t>
      </w:r>
      <w:r w:rsidR="0012383B" w:rsidRPr="00B9018F">
        <w:rPr>
          <w:sz w:val="24"/>
          <w:szCs w:val="24"/>
        </w:rPr>
        <w:t xml:space="preserve"> allo</w:t>
      </w:r>
      <w:r w:rsidR="003A2692" w:rsidRPr="00B9018F">
        <w:rPr>
          <w:sz w:val="24"/>
          <w:szCs w:val="24"/>
        </w:rPr>
        <w:t>cation among insurers should be</w:t>
      </w:r>
      <w:r w:rsidR="0012383B" w:rsidRPr="00B9018F">
        <w:rPr>
          <w:sz w:val="24"/>
          <w:szCs w:val="24"/>
        </w:rPr>
        <w:t xml:space="preserve"> </w:t>
      </w:r>
      <w:r w:rsidR="009442FB" w:rsidRPr="00B9018F">
        <w:rPr>
          <w:sz w:val="24"/>
          <w:szCs w:val="24"/>
        </w:rPr>
        <w:t>“</w:t>
      </w:r>
      <w:r w:rsidR="0012383B" w:rsidRPr="00B9018F">
        <w:rPr>
          <w:sz w:val="24"/>
          <w:szCs w:val="24"/>
        </w:rPr>
        <w:t>on the basis of the extent of the risk assumed.</w:t>
      </w:r>
      <w:r w:rsidR="009442FB" w:rsidRPr="00B9018F">
        <w:rPr>
          <w:sz w:val="24"/>
          <w:szCs w:val="24"/>
        </w:rPr>
        <w:t>”</w:t>
      </w:r>
      <w:r w:rsidR="0012383B" w:rsidRPr="00B9018F">
        <w:rPr>
          <w:rStyle w:val="FootnoteReference"/>
          <w:sz w:val="24"/>
          <w:szCs w:val="24"/>
        </w:rPr>
        <w:footnoteReference w:id="66"/>
      </w:r>
      <w:r w:rsidR="0012383B" w:rsidRPr="00B9018F">
        <w:rPr>
          <w:sz w:val="24"/>
          <w:szCs w:val="24"/>
        </w:rPr>
        <w:t xml:space="preserve"> </w:t>
      </w:r>
    </w:p>
    <w:p w14:paraId="0BE4C2E0" w14:textId="24597FAC" w:rsidR="001A7D4D" w:rsidRPr="00B9018F" w:rsidRDefault="001A7D4D" w:rsidP="00AA6B06">
      <w:pPr>
        <w:autoSpaceDE w:val="0"/>
        <w:autoSpaceDN w:val="0"/>
        <w:spacing w:before="40" w:after="40"/>
        <w:ind w:firstLine="720"/>
        <w:jc w:val="both"/>
        <w:rPr>
          <w:rFonts w:cs="Times New Roman"/>
          <w:color w:val="000000"/>
          <w:sz w:val="24"/>
          <w:szCs w:val="24"/>
        </w:rPr>
      </w:pPr>
    </w:p>
    <w:p w14:paraId="278FEA70" w14:textId="05116442" w:rsidR="006927FA" w:rsidRPr="00B9018F" w:rsidRDefault="006927FA" w:rsidP="006927FA">
      <w:pPr>
        <w:jc w:val="both"/>
        <w:rPr>
          <w:rFonts w:cs="Times New Roman"/>
          <w:sz w:val="24"/>
          <w:szCs w:val="24"/>
        </w:rPr>
      </w:pPr>
      <w:r w:rsidRPr="00B9018F">
        <w:rPr>
          <w:rFonts w:cs="Times New Roman"/>
          <w:sz w:val="24"/>
          <w:szCs w:val="24"/>
        </w:rPr>
        <w:tab/>
      </w:r>
      <w:r w:rsidR="002279DE" w:rsidRPr="00B9018F">
        <w:rPr>
          <w:rFonts w:cs="Times New Roman"/>
          <w:sz w:val="24"/>
          <w:szCs w:val="24"/>
        </w:rPr>
        <w:t>By way of example, the</w:t>
      </w:r>
      <w:r w:rsidRPr="00B9018F">
        <w:rPr>
          <w:rFonts w:cs="Times New Roman"/>
          <w:sz w:val="24"/>
          <w:szCs w:val="24"/>
        </w:rPr>
        <w:t xml:space="preserve"> Texas Supreme Court</w:t>
      </w:r>
      <w:r w:rsidR="009442FB" w:rsidRPr="00B9018F">
        <w:rPr>
          <w:rFonts w:cs="Times New Roman"/>
          <w:sz w:val="24"/>
          <w:szCs w:val="24"/>
        </w:rPr>
        <w:t>’</w:t>
      </w:r>
      <w:r w:rsidRPr="00B9018F">
        <w:rPr>
          <w:rFonts w:cs="Times New Roman"/>
          <w:sz w:val="24"/>
          <w:szCs w:val="24"/>
        </w:rPr>
        <w:t xml:space="preserve">s decision in </w:t>
      </w:r>
      <w:r w:rsidRPr="00B9018F">
        <w:rPr>
          <w:rFonts w:cs="Times New Roman"/>
          <w:i/>
          <w:sz w:val="24"/>
          <w:szCs w:val="24"/>
        </w:rPr>
        <w:t>American Physicians Insurance Exchange v. Garcia</w:t>
      </w:r>
      <w:r w:rsidRPr="00B9018F">
        <w:rPr>
          <w:rFonts w:cs="Times New Roman"/>
          <w:sz w:val="24"/>
          <w:szCs w:val="24"/>
        </w:rPr>
        <w:t xml:space="preserve"> offers a comprehensive discussion concerning the proper allocation of indivisible injuries across multiple policy periods</w:t>
      </w:r>
      <w:r w:rsidR="00130BBF">
        <w:rPr>
          <w:rFonts w:cs="Times New Roman"/>
          <w:sz w:val="24"/>
          <w:szCs w:val="24"/>
        </w:rPr>
        <w:t>.</w:t>
      </w:r>
      <w:r w:rsidR="00130BBF" w:rsidRPr="00B9018F">
        <w:rPr>
          <w:rStyle w:val="FootnoteReference"/>
          <w:rFonts w:cs="Times New Roman"/>
          <w:sz w:val="24"/>
          <w:szCs w:val="24"/>
        </w:rPr>
        <w:footnoteReference w:id="67"/>
      </w:r>
      <w:r w:rsidRPr="00B9018F">
        <w:rPr>
          <w:rFonts w:cs="Times New Roman"/>
          <w:sz w:val="24"/>
          <w:szCs w:val="24"/>
        </w:rPr>
        <w:t xml:space="preserve"> The </w:t>
      </w:r>
      <w:r w:rsidRPr="00B9018F">
        <w:rPr>
          <w:rFonts w:cs="Times New Roman"/>
          <w:i/>
          <w:sz w:val="24"/>
          <w:szCs w:val="24"/>
        </w:rPr>
        <w:t xml:space="preserve">Garcia </w:t>
      </w:r>
      <w:r w:rsidRPr="00B9018F">
        <w:rPr>
          <w:rFonts w:cs="Times New Roman"/>
          <w:sz w:val="24"/>
          <w:szCs w:val="24"/>
        </w:rPr>
        <w:t>court reasoned:</w:t>
      </w:r>
    </w:p>
    <w:p w14:paraId="572182BC" w14:textId="77777777" w:rsidR="006927FA" w:rsidRPr="00B9018F" w:rsidRDefault="006927FA" w:rsidP="006927FA">
      <w:pPr>
        <w:jc w:val="both"/>
        <w:rPr>
          <w:rFonts w:cs="Times New Roman"/>
          <w:sz w:val="24"/>
          <w:szCs w:val="24"/>
        </w:rPr>
      </w:pPr>
    </w:p>
    <w:p w14:paraId="3BA13B0B" w14:textId="2757570C" w:rsidR="006927FA" w:rsidRPr="00B9018F" w:rsidRDefault="006927FA" w:rsidP="006927FA">
      <w:pPr>
        <w:ind w:left="720" w:right="720"/>
        <w:jc w:val="both"/>
        <w:rPr>
          <w:rFonts w:cs="Times New Roman"/>
          <w:sz w:val="24"/>
          <w:szCs w:val="24"/>
        </w:rPr>
      </w:pPr>
      <w:r w:rsidRPr="00B9018F">
        <w:rPr>
          <w:rFonts w:cs="Times New Roman"/>
          <w:sz w:val="24"/>
          <w:szCs w:val="24"/>
        </w:rPr>
        <w:t>If a single occurrence triggers more than one policy, covering different policy periods, then different limits may have applied at different times. In such a case, the insured</w:t>
      </w:r>
      <w:r w:rsidR="009442FB" w:rsidRPr="00B9018F">
        <w:rPr>
          <w:rFonts w:cs="Times New Roman"/>
          <w:sz w:val="24"/>
          <w:szCs w:val="24"/>
        </w:rPr>
        <w:t>’</w:t>
      </w:r>
      <w:r w:rsidRPr="00B9018F">
        <w:rPr>
          <w:rFonts w:cs="Times New Roman"/>
          <w:sz w:val="24"/>
          <w:szCs w:val="24"/>
        </w:rPr>
        <w:t>s indemnity limit should be whatever limit applied at the single point in time during the coverage periods of the triggered policies when the insured</w:t>
      </w:r>
      <w:r w:rsidR="009442FB" w:rsidRPr="00B9018F">
        <w:rPr>
          <w:rFonts w:cs="Times New Roman"/>
          <w:sz w:val="24"/>
          <w:szCs w:val="24"/>
        </w:rPr>
        <w:t>’</w:t>
      </w:r>
      <w:r w:rsidRPr="00B9018F">
        <w:rPr>
          <w:rFonts w:cs="Times New Roman"/>
          <w:sz w:val="24"/>
          <w:szCs w:val="24"/>
        </w:rPr>
        <w:t>s limit was highest. The insured is generally in the best position to identify the policy or policies that would maximize coverage. Once the applicable limit is identified, all insurers whose policies are triggered must allocate funding of the indemnity limit among themselves according to their subrogation rights.</w:t>
      </w:r>
      <w:r w:rsidRPr="00B9018F">
        <w:rPr>
          <w:rStyle w:val="FootnoteReference"/>
          <w:rFonts w:cs="Times New Roman"/>
          <w:sz w:val="24"/>
          <w:szCs w:val="24"/>
        </w:rPr>
        <w:footnoteReference w:id="68"/>
      </w:r>
    </w:p>
    <w:p w14:paraId="3362D92F" w14:textId="77777777" w:rsidR="006927FA" w:rsidRPr="00B9018F" w:rsidRDefault="006927FA" w:rsidP="006927FA">
      <w:pPr>
        <w:widowControl w:val="0"/>
        <w:ind w:left="720" w:right="720"/>
        <w:jc w:val="both"/>
        <w:rPr>
          <w:rFonts w:eastAsia="Times New Roman" w:cs="Times New Roman"/>
          <w:snapToGrid w:val="0"/>
          <w:sz w:val="24"/>
          <w:szCs w:val="24"/>
        </w:rPr>
      </w:pPr>
    </w:p>
    <w:p w14:paraId="72329EC9" w14:textId="2B5F8895" w:rsidR="006927FA" w:rsidRPr="00B9018F" w:rsidRDefault="006927FA" w:rsidP="006927FA">
      <w:pPr>
        <w:widowControl w:val="0"/>
        <w:jc w:val="both"/>
        <w:rPr>
          <w:rFonts w:eastAsia="Times New Roman" w:cs="Times New Roman"/>
          <w:snapToGrid w:val="0"/>
          <w:sz w:val="24"/>
          <w:szCs w:val="24"/>
        </w:rPr>
      </w:pPr>
      <w:r w:rsidRPr="00B9018F">
        <w:rPr>
          <w:rFonts w:eastAsia="Times New Roman" w:cs="Times New Roman"/>
          <w:snapToGrid w:val="0"/>
          <w:sz w:val="24"/>
          <w:szCs w:val="24"/>
        </w:rPr>
        <w:t xml:space="preserve">The Texas Supreme Court has also more recently addressed the indivisible nature of property damage, as discussed in </w:t>
      </w:r>
      <w:r w:rsidRPr="00B9018F">
        <w:rPr>
          <w:rFonts w:eastAsia="Times New Roman" w:cs="Times New Roman"/>
          <w:i/>
          <w:snapToGrid w:val="0"/>
          <w:sz w:val="24"/>
          <w:szCs w:val="24"/>
        </w:rPr>
        <w:t>Garcia</w:t>
      </w:r>
      <w:r w:rsidRPr="00B9018F">
        <w:rPr>
          <w:rFonts w:eastAsia="Times New Roman" w:cs="Times New Roman"/>
          <w:snapToGrid w:val="0"/>
          <w:sz w:val="24"/>
          <w:szCs w:val="24"/>
        </w:rPr>
        <w:t xml:space="preserve">, in </w:t>
      </w:r>
      <w:r w:rsidRPr="00B9018F">
        <w:rPr>
          <w:rFonts w:eastAsia="Times New Roman" w:cs="Times New Roman"/>
          <w:i/>
          <w:snapToGrid w:val="0"/>
          <w:sz w:val="24"/>
          <w:szCs w:val="24"/>
        </w:rPr>
        <w:t>Lennar Corp. v. Markel American Insurance Co</w:t>
      </w:r>
      <w:r w:rsidRPr="00B9018F">
        <w:rPr>
          <w:rFonts w:eastAsia="Times New Roman" w:cs="Times New Roman"/>
          <w:snapToGrid w:val="0"/>
          <w:sz w:val="24"/>
          <w:szCs w:val="24"/>
        </w:rPr>
        <w:t>.</w:t>
      </w:r>
      <w:r w:rsidRPr="00B9018F">
        <w:rPr>
          <w:rStyle w:val="FootnoteReference"/>
          <w:rFonts w:eastAsia="Times New Roman" w:cs="Times New Roman"/>
          <w:snapToGrid w:val="0"/>
          <w:sz w:val="24"/>
          <w:szCs w:val="24"/>
        </w:rPr>
        <w:footnoteReference w:id="69"/>
      </w:r>
      <w:r w:rsidRPr="00B9018F">
        <w:rPr>
          <w:rFonts w:ascii="Times New Roman" w:eastAsia="Times New Roman" w:hAnsi="Times New Roman" w:cs="Times New Roman"/>
          <w:snapToGrid w:val="0"/>
          <w:sz w:val="24"/>
          <w:szCs w:val="24"/>
        </w:rPr>
        <w:t xml:space="preserve"> </w:t>
      </w:r>
      <w:r w:rsidRPr="00B9018F">
        <w:rPr>
          <w:rFonts w:eastAsia="Times New Roman" w:cs="Times New Roman"/>
          <w:snapToGrid w:val="0"/>
          <w:sz w:val="24"/>
          <w:szCs w:val="24"/>
        </w:rPr>
        <w:t xml:space="preserve">In </w:t>
      </w:r>
      <w:r w:rsidR="00AB37E3" w:rsidRPr="00B9018F">
        <w:rPr>
          <w:rFonts w:eastAsia="Times New Roman" w:cs="Times New Roman"/>
          <w:i/>
          <w:snapToGrid w:val="0"/>
          <w:sz w:val="24"/>
          <w:szCs w:val="24"/>
        </w:rPr>
        <w:t>Lennar</w:t>
      </w:r>
      <w:r w:rsidRPr="00B9018F">
        <w:rPr>
          <w:rFonts w:eastAsia="Times New Roman" w:cs="Times New Roman"/>
          <w:snapToGrid w:val="0"/>
          <w:sz w:val="24"/>
          <w:szCs w:val="24"/>
        </w:rPr>
        <w:t xml:space="preserve">, the insurer was found liable for damage that occurred before its period due </w:t>
      </w:r>
      <w:r w:rsidR="00AB37E3" w:rsidRPr="00B9018F">
        <w:rPr>
          <w:rFonts w:eastAsia="Times New Roman" w:cs="Times New Roman"/>
          <w:snapToGrid w:val="0"/>
          <w:sz w:val="24"/>
          <w:szCs w:val="24"/>
        </w:rPr>
        <w:t>because of both</w:t>
      </w:r>
      <w:r w:rsidRPr="00B9018F">
        <w:rPr>
          <w:rFonts w:eastAsia="Times New Roman" w:cs="Times New Roman"/>
          <w:snapToGrid w:val="0"/>
          <w:sz w:val="24"/>
          <w:szCs w:val="24"/>
        </w:rPr>
        <w:t xml:space="preserve"> the </w:t>
      </w:r>
      <w:r w:rsidR="009442FB" w:rsidRPr="00B9018F">
        <w:rPr>
          <w:rFonts w:eastAsia="Times New Roman" w:cs="Times New Roman"/>
          <w:snapToGrid w:val="0"/>
          <w:sz w:val="24"/>
          <w:szCs w:val="24"/>
        </w:rPr>
        <w:t>“</w:t>
      </w:r>
      <w:r w:rsidRPr="00B9018F">
        <w:rPr>
          <w:rFonts w:eastAsia="Times New Roman" w:cs="Times New Roman"/>
          <w:snapToGrid w:val="0"/>
          <w:sz w:val="24"/>
          <w:szCs w:val="24"/>
        </w:rPr>
        <w:t>practically impossible</w:t>
      </w:r>
      <w:r w:rsidR="009442FB" w:rsidRPr="00B9018F">
        <w:rPr>
          <w:rFonts w:eastAsia="Times New Roman" w:cs="Times New Roman"/>
          <w:snapToGrid w:val="0"/>
          <w:sz w:val="24"/>
          <w:szCs w:val="24"/>
        </w:rPr>
        <w:t>”</w:t>
      </w:r>
      <w:r w:rsidRPr="00B9018F">
        <w:rPr>
          <w:rFonts w:eastAsia="Times New Roman" w:cs="Times New Roman"/>
          <w:snapToGrid w:val="0"/>
          <w:sz w:val="24"/>
          <w:szCs w:val="24"/>
        </w:rPr>
        <w:t xml:space="preserve"> task of segregating the damage and </w:t>
      </w:r>
      <w:r w:rsidR="00AB37E3" w:rsidRPr="00B9018F">
        <w:rPr>
          <w:rFonts w:eastAsia="Times New Roman" w:cs="Times New Roman"/>
          <w:snapToGrid w:val="0"/>
          <w:sz w:val="24"/>
          <w:szCs w:val="24"/>
        </w:rPr>
        <w:t xml:space="preserve">because of </w:t>
      </w:r>
      <w:r w:rsidRPr="00B9018F">
        <w:rPr>
          <w:rFonts w:eastAsia="Times New Roman" w:cs="Times New Roman"/>
          <w:snapToGrid w:val="0"/>
          <w:sz w:val="24"/>
          <w:szCs w:val="24"/>
        </w:rPr>
        <w:t xml:space="preserve">the reallocation mechanisms </w:t>
      </w:r>
      <w:r w:rsidR="00AB37E3" w:rsidRPr="00B9018F">
        <w:rPr>
          <w:rFonts w:eastAsia="Times New Roman" w:cs="Times New Roman"/>
          <w:snapToGrid w:val="0"/>
          <w:sz w:val="24"/>
          <w:szCs w:val="24"/>
        </w:rPr>
        <w:t>made available by</w:t>
      </w:r>
      <w:r w:rsidRPr="00B9018F">
        <w:rPr>
          <w:rFonts w:eastAsia="Times New Roman" w:cs="Times New Roman"/>
          <w:snapToGrid w:val="0"/>
          <w:sz w:val="24"/>
          <w:szCs w:val="24"/>
        </w:rPr>
        <w:t xml:space="preserve"> </w:t>
      </w:r>
      <w:r w:rsidRPr="00B9018F">
        <w:rPr>
          <w:rFonts w:eastAsia="Times New Roman" w:cs="Times New Roman"/>
          <w:i/>
          <w:snapToGrid w:val="0"/>
          <w:sz w:val="24"/>
          <w:szCs w:val="24"/>
        </w:rPr>
        <w:t>Garcia.</w:t>
      </w:r>
      <w:r w:rsidRPr="00B9018F">
        <w:rPr>
          <w:rStyle w:val="FootnoteReference"/>
          <w:rFonts w:eastAsia="Times New Roman" w:cs="Times New Roman"/>
          <w:i/>
          <w:snapToGrid w:val="0"/>
          <w:sz w:val="24"/>
          <w:szCs w:val="24"/>
        </w:rPr>
        <w:footnoteReference w:id="70"/>
      </w:r>
      <w:r w:rsidRPr="00B9018F">
        <w:rPr>
          <w:rFonts w:eastAsia="Times New Roman" w:cs="Times New Roman"/>
          <w:snapToGrid w:val="0"/>
          <w:sz w:val="24"/>
          <w:szCs w:val="24"/>
        </w:rPr>
        <w:t xml:space="preserve"> The </w:t>
      </w:r>
      <w:r w:rsidRPr="00B9018F">
        <w:rPr>
          <w:rFonts w:eastAsia="Times New Roman" w:cs="Times New Roman"/>
          <w:i/>
          <w:snapToGrid w:val="0"/>
          <w:sz w:val="24"/>
          <w:szCs w:val="24"/>
        </w:rPr>
        <w:t xml:space="preserve">Lennar </w:t>
      </w:r>
      <w:r w:rsidRPr="00B9018F">
        <w:rPr>
          <w:rFonts w:eastAsia="Times New Roman" w:cs="Times New Roman"/>
          <w:snapToGrid w:val="0"/>
          <w:sz w:val="24"/>
          <w:szCs w:val="24"/>
        </w:rPr>
        <w:t xml:space="preserve">court accordingly established a theory of vertical, as opposed to horizontal, exhaustion—essentially the opposite of </w:t>
      </w:r>
      <w:r w:rsidR="006F4A1A">
        <w:rPr>
          <w:rFonts w:eastAsia="Times New Roman" w:cs="Times New Roman"/>
          <w:snapToGrid w:val="0"/>
          <w:sz w:val="24"/>
          <w:szCs w:val="24"/>
        </w:rPr>
        <w:t>a</w:t>
      </w:r>
      <w:r w:rsidRPr="00B9018F">
        <w:rPr>
          <w:rFonts w:eastAsia="Times New Roman" w:cs="Times New Roman"/>
          <w:snapToGrid w:val="0"/>
          <w:sz w:val="24"/>
          <w:szCs w:val="24"/>
        </w:rPr>
        <w:t xml:space="preserve"> pro</w:t>
      </w:r>
      <w:r w:rsidR="00F131C7">
        <w:rPr>
          <w:rFonts w:eastAsia="Times New Roman" w:cs="Times New Roman"/>
          <w:snapToGrid w:val="0"/>
          <w:sz w:val="24"/>
          <w:szCs w:val="24"/>
        </w:rPr>
        <w:t xml:space="preserve"> rata</w:t>
      </w:r>
      <w:r w:rsidRPr="00B9018F">
        <w:rPr>
          <w:rFonts w:eastAsia="Times New Roman" w:cs="Times New Roman"/>
          <w:snapToGrid w:val="0"/>
          <w:sz w:val="24"/>
          <w:szCs w:val="24"/>
        </w:rPr>
        <w:t xml:space="preserve"> approach.</w:t>
      </w:r>
      <w:r w:rsidRPr="00B9018F">
        <w:rPr>
          <w:rStyle w:val="FootnoteReference"/>
          <w:rFonts w:eastAsia="Times New Roman" w:cs="Times New Roman"/>
          <w:snapToGrid w:val="0"/>
          <w:sz w:val="24"/>
          <w:szCs w:val="24"/>
        </w:rPr>
        <w:footnoteReference w:id="71"/>
      </w:r>
      <w:r w:rsidRPr="00B9018F">
        <w:rPr>
          <w:rFonts w:eastAsia="Times New Roman" w:cs="Times New Roman"/>
          <w:snapToGrid w:val="0"/>
          <w:sz w:val="24"/>
          <w:szCs w:val="24"/>
        </w:rPr>
        <w:t xml:space="preserve"> Notwithstanding, the Texas Supreme Court stated that an insurer who pays on an insured</w:t>
      </w:r>
      <w:r w:rsidR="009442FB" w:rsidRPr="00B9018F">
        <w:rPr>
          <w:rFonts w:eastAsia="Times New Roman" w:cs="Times New Roman"/>
          <w:snapToGrid w:val="0"/>
          <w:sz w:val="24"/>
          <w:szCs w:val="24"/>
        </w:rPr>
        <w:t>’</w:t>
      </w:r>
      <w:r w:rsidRPr="00B9018F">
        <w:rPr>
          <w:rFonts w:eastAsia="Times New Roman" w:cs="Times New Roman"/>
          <w:snapToGrid w:val="0"/>
          <w:sz w:val="24"/>
          <w:szCs w:val="24"/>
        </w:rPr>
        <w:t xml:space="preserve">s behalf </w:t>
      </w:r>
      <w:r w:rsidR="006F4A1A">
        <w:rPr>
          <w:rFonts w:eastAsia="Times New Roman" w:cs="Times New Roman"/>
          <w:snapToGrid w:val="0"/>
          <w:sz w:val="24"/>
          <w:szCs w:val="24"/>
        </w:rPr>
        <w:t>keeps</w:t>
      </w:r>
      <w:r w:rsidRPr="00B9018F">
        <w:rPr>
          <w:rFonts w:eastAsia="Times New Roman" w:cs="Times New Roman"/>
          <w:snapToGrid w:val="0"/>
          <w:sz w:val="24"/>
          <w:szCs w:val="24"/>
        </w:rPr>
        <w:t xml:space="preserve"> its equitable subrogation and contribution rights, potentially leaving the insurer with functionally th</w:t>
      </w:r>
      <w:r w:rsidR="00BD1126">
        <w:rPr>
          <w:rFonts w:eastAsia="Times New Roman" w:cs="Times New Roman"/>
          <w:snapToGrid w:val="0"/>
          <w:sz w:val="24"/>
          <w:szCs w:val="24"/>
        </w:rPr>
        <w:t xml:space="preserve">e same outcome as under the pro </w:t>
      </w:r>
      <w:r w:rsidRPr="00B9018F">
        <w:rPr>
          <w:rFonts w:eastAsia="Times New Roman" w:cs="Times New Roman"/>
          <w:snapToGrid w:val="0"/>
          <w:sz w:val="24"/>
          <w:szCs w:val="24"/>
        </w:rPr>
        <w:t>rata approach.</w:t>
      </w:r>
      <w:r w:rsidRPr="00B9018F">
        <w:rPr>
          <w:rStyle w:val="FootnoteReference"/>
          <w:rFonts w:eastAsia="Times New Roman" w:cs="Times New Roman"/>
          <w:snapToGrid w:val="0"/>
          <w:sz w:val="24"/>
          <w:szCs w:val="24"/>
        </w:rPr>
        <w:footnoteReference w:id="72"/>
      </w:r>
      <w:r w:rsidRPr="00B9018F">
        <w:rPr>
          <w:rFonts w:eastAsia="Times New Roman" w:cs="Times New Roman"/>
          <w:snapToGrid w:val="0"/>
          <w:sz w:val="24"/>
          <w:szCs w:val="24"/>
        </w:rPr>
        <w:t xml:space="preserve"> </w:t>
      </w:r>
    </w:p>
    <w:p w14:paraId="5634182A" w14:textId="77777777" w:rsidR="006927FA" w:rsidRPr="00B9018F" w:rsidRDefault="006927FA" w:rsidP="00AA6B06">
      <w:pPr>
        <w:autoSpaceDE w:val="0"/>
        <w:autoSpaceDN w:val="0"/>
        <w:spacing w:before="40" w:after="40"/>
        <w:ind w:firstLine="720"/>
        <w:jc w:val="both"/>
        <w:rPr>
          <w:rFonts w:cs="Times New Roman"/>
          <w:color w:val="000000"/>
          <w:sz w:val="24"/>
          <w:szCs w:val="24"/>
        </w:rPr>
      </w:pPr>
    </w:p>
    <w:p w14:paraId="4FFDD90D" w14:textId="0B079260" w:rsidR="00DD27ED" w:rsidRPr="00B9018F" w:rsidRDefault="008D2C13" w:rsidP="00AA6B06">
      <w:pPr>
        <w:autoSpaceDE w:val="0"/>
        <w:autoSpaceDN w:val="0"/>
        <w:spacing w:before="40" w:after="40"/>
        <w:ind w:firstLine="720"/>
        <w:jc w:val="both"/>
        <w:rPr>
          <w:rFonts w:cs="Times New Roman"/>
          <w:color w:val="000000"/>
          <w:sz w:val="24"/>
          <w:szCs w:val="24"/>
        </w:rPr>
      </w:pPr>
      <w:r w:rsidRPr="00B9018F">
        <w:rPr>
          <w:rFonts w:cs="Times New Roman"/>
          <w:color w:val="000000"/>
          <w:sz w:val="24"/>
          <w:szCs w:val="24"/>
        </w:rPr>
        <w:t>Like with any long latency claim,</w:t>
      </w:r>
      <w:r w:rsidR="00A05A64" w:rsidRPr="00B9018F">
        <w:rPr>
          <w:rFonts w:cs="Times New Roman"/>
          <w:color w:val="000000"/>
          <w:sz w:val="24"/>
          <w:szCs w:val="24"/>
        </w:rPr>
        <w:t xml:space="preserve"> how much damage occurred and when is an extremely important inquiry in properly assessing an insurer</w:t>
      </w:r>
      <w:r w:rsidR="009442FB" w:rsidRPr="00B9018F">
        <w:rPr>
          <w:rFonts w:cs="Times New Roman"/>
          <w:color w:val="000000"/>
          <w:sz w:val="24"/>
          <w:szCs w:val="24"/>
        </w:rPr>
        <w:t>’</w:t>
      </w:r>
      <w:r w:rsidR="00A05A64" w:rsidRPr="00B9018F">
        <w:rPr>
          <w:rFonts w:cs="Times New Roman"/>
          <w:color w:val="000000"/>
          <w:sz w:val="24"/>
          <w:szCs w:val="24"/>
        </w:rPr>
        <w:t>s exposure</w:t>
      </w:r>
      <w:r w:rsidR="003A2692" w:rsidRPr="00B9018F">
        <w:rPr>
          <w:rFonts w:cs="Times New Roman"/>
          <w:color w:val="000000"/>
          <w:sz w:val="24"/>
          <w:szCs w:val="24"/>
        </w:rPr>
        <w:t>, particularly when the insurer is entitled to offset from insurer</w:t>
      </w:r>
      <w:r w:rsidR="00AB501D" w:rsidRPr="00B9018F">
        <w:rPr>
          <w:rFonts w:cs="Times New Roman"/>
          <w:color w:val="000000"/>
          <w:sz w:val="24"/>
          <w:szCs w:val="24"/>
        </w:rPr>
        <w:t>s</w:t>
      </w:r>
      <w:r w:rsidR="003A2692" w:rsidRPr="00B9018F">
        <w:rPr>
          <w:rFonts w:cs="Times New Roman"/>
          <w:color w:val="000000"/>
          <w:sz w:val="24"/>
          <w:szCs w:val="24"/>
        </w:rPr>
        <w:t xml:space="preserve"> that issued policies applicable to the same loss</w:t>
      </w:r>
      <w:r w:rsidR="00A05A64" w:rsidRPr="00B9018F">
        <w:rPr>
          <w:rFonts w:cs="Times New Roman"/>
          <w:color w:val="000000"/>
          <w:sz w:val="24"/>
          <w:szCs w:val="24"/>
        </w:rPr>
        <w:t>. Each of the primary methods of allocation discussed here is frequently applied in other contexts, and while their application specifically in the co</w:t>
      </w:r>
      <w:r w:rsidR="00C02BBC" w:rsidRPr="00B9018F">
        <w:rPr>
          <w:rFonts w:cs="Times New Roman"/>
          <w:color w:val="000000"/>
          <w:sz w:val="24"/>
          <w:szCs w:val="24"/>
        </w:rPr>
        <w:t xml:space="preserve">ntext of climate change </w:t>
      </w:r>
      <w:r w:rsidR="00A05A64" w:rsidRPr="00B9018F">
        <w:rPr>
          <w:rFonts w:cs="Times New Roman"/>
          <w:color w:val="000000"/>
          <w:sz w:val="24"/>
          <w:szCs w:val="24"/>
        </w:rPr>
        <w:t>is untested, there is little reason to doubt that courts will follow established insurance coverage jurisprudence</w:t>
      </w:r>
      <w:r w:rsidR="00C02BBC" w:rsidRPr="00B9018F">
        <w:rPr>
          <w:rFonts w:cs="Times New Roman"/>
          <w:color w:val="000000"/>
          <w:sz w:val="24"/>
          <w:szCs w:val="24"/>
        </w:rPr>
        <w:t xml:space="preserve"> even in unfamiliar cases</w:t>
      </w:r>
      <w:r w:rsidR="00A05A64" w:rsidRPr="00B9018F">
        <w:rPr>
          <w:rFonts w:cs="Times New Roman"/>
          <w:color w:val="000000"/>
          <w:sz w:val="24"/>
          <w:szCs w:val="24"/>
        </w:rPr>
        <w:t xml:space="preserve">. </w:t>
      </w:r>
    </w:p>
    <w:p w14:paraId="7EFB73C1" w14:textId="43F7D1F5" w:rsidR="002166FE" w:rsidRPr="00B9018F" w:rsidRDefault="002166FE" w:rsidP="00AA6B06">
      <w:pPr>
        <w:rPr>
          <w:sz w:val="24"/>
          <w:szCs w:val="24"/>
        </w:rPr>
      </w:pPr>
    </w:p>
    <w:p w14:paraId="3851E4C1" w14:textId="1B8745DC" w:rsidR="009C357A" w:rsidRPr="00B9018F" w:rsidRDefault="0091516C" w:rsidP="00A34BE5">
      <w:pPr>
        <w:jc w:val="both"/>
        <w:rPr>
          <w:b/>
          <w:sz w:val="24"/>
          <w:szCs w:val="24"/>
        </w:rPr>
      </w:pPr>
      <w:r w:rsidRPr="00B9018F">
        <w:rPr>
          <w:b/>
          <w:sz w:val="24"/>
          <w:szCs w:val="24"/>
        </w:rPr>
        <w:t>(5)</w:t>
      </w:r>
      <w:r w:rsidRPr="00B9018F">
        <w:rPr>
          <w:b/>
          <w:sz w:val="24"/>
          <w:szCs w:val="24"/>
        </w:rPr>
        <w:tab/>
      </w:r>
      <w:r w:rsidR="0059791C" w:rsidRPr="00B9018F">
        <w:rPr>
          <w:b/>
          <w:sz w:val="24"/>
          <w:szCs w:val="24"/>
        </w:rPr>
        <w:t xml:space="preserve">Concurrent Causation </w:t>
      </w:r>
    </w:p>
    <w:p w14:paraId="2A397460" w14:textId="77777777" w:rsidR="00096C45" w:rsidRPr="00B9018F" w:rsidRDefault="00096C45" w:rsidP="00A34BE5">
      <w:pPr>
        <w:jc w:val="both"/>
        <w:rPr>
          <w:sz w:val="24"/>
          <w:szCs w:val="24"/>
        </w:rPr>
      </w:pPr>
    </w:p>
    <w:p w14:paraId="186EEEB5" w14:textId="4FD9E525" w:rsidR="007C5EAD" w:rsidRPr="00B9018F" w:rsidRDefault="00A16600" w:rsidP="007C5EAD">
      <w:pPr>
        <w:jc w:val="both"/>
        <w:rPr>
          <w:sz w:val="24"/>
          <w:szCs w:val="24"/>
        </w:rPr>
      </w:pPr>
      <w:r w:rsidRPr="00B9018F">
        <w:rPr>
          <w:sz w:val="24"/>
          <w:szCs w:val="24"/>
        </w:rPr>
        <w:tab/>
      </w:r>
      <w:r w:rsidR="006607FC" w:rsidRPr="00B9018F">
        <w:rPr>
          <w:sz w:val="24"/>
          <w:szCs w:val="24"/>
        </w:rPr>
        <w:t>An insured is only entitled to recover damages that the policy covers. When covered and non-covered perils combine to cause an insured</w:t>
      </w:r>
      <w:r w:rsidR="009442FB" w:rsidRPr="00B9018F">
        <w:rPr>
          <w:sz w:val="24"/>
          <w:szCs w:val="24"/>
        </w:rPr>
        <w:t>’</w:t>
      </w:r>
      <w:r w:rsidR="006607FC" w:rsidRPr="00B9018F">
        <w:rPr>
          <w:sz w:val="24"/>
          <w:szCs w:val="24"/>
        </w:rPr>
        <w:t>s loss, it is important to look to the jurisdiction</w:t>
      </w:r>
      <w:r w:rsidR="009442FB" w:rsidRPr="00B9018F">
        <w:rPr>
          <w:sz w:val="24"/>
          <w:szCs w:val="24"/>
        </w:rPr>
        <w:t>’</w:t>
      </w:r>
      <w:r w:rsidR="006607FC" w:rsidRPr="00B9018F">
        <w:rPr>
          <w:sz w:val="24"/>
          <w:szCs w:val="24"/>
        </w:rPr>
        <w:t xml:space="preserve">s rule on concurrent causation. </w:t>
      </w:r>
      <w:r w:rsidR="00045C2B">
        <w:rPr>
          <w:sz w:val="24"/>
          <w:szCs w:val="24"/>
        </w:rPr>
        <w:t xml:space="preserve">Anti-concurrent </w:t>
      </w:r>
      <w:r w:rsidR="00C93786">
        <w:rPr>
          <w:sz w:val="24"/>
          <w:szCs w:val="24"/>
        </w:rPr>
        <w:t xml:space="preserve">causation </w:t>
      </w:r>
      <w:r w:rsidR="00045C2B">
        <w:rPr>
          <w:sz w:val="24"/>
          <w:szCs w:val="24"/>
        </w:rPr>
        <w:t xml:space="preserve">clauses, which are most often </w:t>
      </w:r>
      <w:r w:rsidR="007C5EAD">
        <w:rPr>
          <w:sz w:val="24"/>
          <w:szCs w:val="24"/>
        </w:rPr>
        <w:t>found preceding exclusions</w:t>
      </w:r>
      <w:r w:rsidR="00045C2B">
        <w:rPr>
          <w:sz w:val="24"/>
          <w:szCs w:val="24"/>
        </w:rPr>
        <w:t xml:space="preserve"> in first-party property policies, </w:t>
      </w:r>
      <w:r w:rsidR="00045C2B" w:rsidRPr="00B9018F">
        <w:rPr>
          <w:sz w:val="24"/>
          <w:szCs w:val="24"/>
        </w:rPr>
        <w:t xml:space="preserve">apply </w:t>
      </w:r>
      <w:r w:rsidR="00045C2B">
        <w:rPr>
          <w:sz w:val="24"/>
          <w:szCs w:val="24"/>
        </w:rPr>
        <w:t xml:space="preserve">to preclude coverage </w:t>
      </w:r>
      <w:r w:rsidR="00045C2B" w:rsidRPr="00B9018F">
        <w:rPr>
          <w:sz w:val="24"/>
          <w:szCs w:val="24"/>
        </w:rPr>
        <w:t xml:space="preserve">when excluded and covered perils combine to cause the same </w:t>
      </w:r>
      <w:r w:rsidR="00045C2B">
        <w:rPr>
          <w:sz w:val="24"/>
          <w:szCs w:val="24"/>
        </w:rPr>
        <w:t>loss</w:t>
      </w:r>
      <w:r w:rsidR="00045C2B" w:rsidRPr="00B9018F">
        <w:rPr>
          <w:sz w:val="24"/>
          <w:szCs w:val="24"/>
        </w:rPr>
        <w:t>.</w:t>
      </w:r>
      <w:r w:rsidR="007C5EAD" w:rsidRPr="007C5EAD">
        <w:rPr>
          <w:sz w:val="24"/>
          <w:szCs w:val="24"/>
        </w:rPr>
        <w:t xml:space="preserve"> </w:t>
      </w:r>
      <w:r w:rsidR="007C5EAD">
        <w:rPr>
          <w:sz w:val="24"/>
          <w:szCs w:val="24"/>
        </w:rPr>
        <w:t>Typical anti-concurrent causation clauses state:</w:t>
      </w:r>
    </w:p>
    <w:p w14:paraId="72C84867" w14:textId="77777777" w:rsidR="007C5EAD" w:rsidRPr="00B9018F" w:rsidRDefault="007C5EAD" w:rsidP="007C5EAD">
      <w:pPr>
        <w:jc w:val="both"/>
        <w:rPr>
          <w:sz w:val="24"/>
          <w:szCs w:val="24"/>
        </w:rPr>
      </w:pPr>
    </w:p>
    <w:p w14:paraId="088E8F88" w14:textId="77777777" w:rsidR="007C5EAD" w:rsidRDefault="007C5EAD" w:rsidP="007C5EAD">
      <w:pPr>
        <w:ind w:left="720" w:right="720"/>
        <w:jc w:val="both"/>
        <w:rPr>
          <w:sz w:val="24"/>
          <w:szCs w:val="24"/>
        </w:rPr>
      </w:pPr>
      <w:r w:rsidRPr="00B9018F">
        <w:rPr>
          <w:sz w:val="24"/>
          <w:szCs w:val="24"/>
        </w:rPr>
        <w:t>We will not pay for loss or damage caused directly or indirectly by any of the following. Such loss or damage is excluded regardless of any other cause or event that contributes concurrently or in any sequence to the loss.</w:t>
      </w:r>
    </w:p>
    <w:p w14:paraId="7AA67371" w14:textId="77777777" w:rsidR="007C5EAD" w:rsidRPr="00B9018F" w:rsidRDefault="007C5EAD" w:rsidP="007C5EAD">
      <w:pPr>
        <w:ind w:left="720" w:right="720"/>
        <w:jc w:val="both"/>
        <w:rPr>
          <w:sz w:val="24"/>
          <w:szCs w:val="24"/>
        </w:rPr>
      </w:pPr>
    </w:p>
    <w:p w14:paraId="0B42AAAB" w14:textId="5EA7C0AB" w:rsidR="00096C45" w:rsidRPr="00B9018F" w:rsidRDefault="00096C45" w:rsidP="00096C45">
      <w:pPr>
        <w:jc w:val="both"/>
        <w:rPr>
          <w:sz w:val="24"/>
          <w:szCs w:val="24"/>
        </w:rPr>
      </w:pPr>
      <w:r w:rsidRPr="00B9018F">
        <w:rPr>
          <w:sz w:val="24"/>
          <w:szCs w:val="24"/>
        </w:rPr>
        <w:t>Anti-concurrent causation clauses may be relevant in assessing coverage fo</w:t>
      </w:r>
      <w:r w:rsidR="006F4A1A">
        <w:rPr>
          <w:sz w:val="24"/>
          <w:szCs w:val="24"/>
        </w:rPr>
        <w:t>r climate change related claims</w:t>
      </w:r>
      <w:r w:rsidRPr="00B9018F">
        <w:rPr>
          <w:sz w:val="24"/>
          <w:szCs w:val="24"/>
        </w:rPr>
        <w:t xml:space="preserve"> depending on the particular damage alleged. Generally, those states acknowledging anti-concurrent causation clauses as valid have cited respect for the freedom of contract by enforcing unambiguous policy language. By contrast, </w:t>
      </w:r>
      <w:r w:rsidR="006F4A1A">
        <w:rPr>
          <w:sz w:val="24"/>
          <w:szCs w:val="24"/>
        </w:rPr>
        <w:t>some states, including California and North Dakota,</w:t>
      </w:r>
      <w:r w:rsidRPr="00B9018F">
        <w:rPr>
          <w:sz w:val="24"/>
          <w:szCs w:val="24"/>
        </w:rPr>
        <w:t xml:space="preserve"> have found that the statutorily embodied doctrine of efficient primary cause—applied by many jurisdictions as </w:t>
      </w:r>
      <w:r w:rsidR="006F4A1A">
        <w:rPr>
          <w:sz w:val="24"/>
          <w:szCs w:val="24"/>
        </w:rPr>
        <w:t>a matter of common law—preempts</w:t>
      </w:r>
      <w:r w:rsidRPr="00B9018F">
        <w:rPr>
          <w:sz w:val="24"/>
          <w:szCs w:val="24"/>
        </w:rPr>
        <w:t xml:space="preserve"> anti-concurrent causation clause</w:t>
      </w:r>
      <w:r w:rsidR="006F4A1A">
        <w:rPr>
          <w:sz w:val="24"/>
          <w:szCs w:val="24"/>
        </w:rPr>
        <w:t>s</w:t>
      </w:r>
      <w:r w:rsidRPr="00B9018F">
        <w:rPr>
          <w:sz w:val="24"/>
          <w:szCs w:val="24"/>
        </w:rPr>
        <w:t>.</w:t>
      </w:r>
      <w:r w:rsidRPr="00B9018F">
        <w:rPr>
          <w:rStyle w:val="FootnoteReference"/>
          <w:sz w:val="24"/>
          <w:szCs w:val="24"/>
        </w:rPr>
        <w:footnoteReference w:id="73"/>
      </w:r>
      <w:r w:rsidRPr="00B9018F">
        <w:rPr>
          <w:sz w:val="24"/>
          <w:szCs w:val="24"/>
        </w:rPr>
        <w:t xml:space="preserve"> Relatedly, the Supreme Courts of both Washington</w:t>
      </w:r>
      <w:r w:rsidRPr="00B9018F">
        <w:rPr>
          <w:rStyle w:val="FootnoteReference"/>
          <w:sz w:val="24"/>
          <w:szCs w:val="24"/>
        </w:rPr>
        <w:footnoteReference w:id="74"/>
      </w:r>
      <w:r w:rsidRPr="00B9018F">
        <w:rPr>
          <w:sz w:val="24"/>
          <w:szCs w:val="24"/>
        </w:rPr>
        <w:t xml:space="preserve"> and Virginia</w:t>
      </w:r>
      <w:r w:rsidRPr="00B9018F">
        <w:rPr>
          <w:rStyle w:val="FootnoteReference"/>
          <w:sz w:val="24"/>
          <w:szCs w:val="24"/>
        </w:rPr>
        <w:footnoteReference w:id="75"/>
      </w:r>
      <w:r w:rsidRPr="00B9018F">
        <w:rPr>
          <w:sz w:val="24"/>
          <w:szCs w:val="24"/>
        </w:rPr>
        <w:t xml:space="preserve"> found that an insurer could not contract around the </w:t>
      </w:r>
      <w:r w:rsidR="00045C2B">
        <w:rPr>
          <w:sz w:val="24"/>
          <w:szCs w:val="24"/>
        </w:rPr>
        <w:t xml:space="preserve">common law </w:t>
      </w:r>
      <w:r w:rsidRPr="00B9018F">
        <w:rPr>
          <w:sz w:val="24"/>
          <w:szCs w:val="24"/>
        </w:rPr>
        <w:t>doctrine of efficient proximate cause</w:t>
      </w:r>
      <w:r w:rsidR="00045C2B">
        <w:rPr>
          <w:sz w:val="24"/>
          <w:szCs w:val="24"/>
        </w:rPr>
        <w:t>, holding that</w:t>
      </w:r>
      <w:r w:rsidRPr="00B9018F">
        <w:rPr>
          <w:sz w:val="24"/>
          <w:szCs w:val="24"/>
        </w:rPr>
        <w:t xml:space="preserve"> the reasonable expectation of insured</w:t>
      </w:r>
      <w:r w:rsidR="00045C2B">
        <w:rPr>
          <w:sz w:val="24"/>
          <w:szCs w:val="24"/>
        </w:rPr>
        <w:t>s</w:t>
      </w:r>
      <w:r w:rsidRPr="00B9018F">
        <w:rPr>
          <w:sz w:val="24"/>
          <w:szCs w:val="24"/>
        </w:rPr>
        <w:t xml:space="preserve"> </w:t>
      </w:r>
      <w:r w:rsidR="00045C2B">
        <w:rPr>
          <w:sz w:val="24"/>
          <w:szCs w:val="24"/>
        </w:rPr>
        <w:t>takes</w:t>
      </w:r>
      <w:r w:rsidRPr="00B9018F">
        <w:rPr>
          <w:sz w:val="24"/>
          <w:szCs w:val="24"/>
        </w:rPr>
        <w:t xml:space="preserve"> </w:t>
      </w:r>
      <w:r w:rsidR="00045C2B">
        <w:rPr>
          <w:sz w:val="24"/>
          <w:szCs w:val="24"/>
        </w:rPr>
        <w:t>precedence</w:t>
      </w:r>
      <w:r w:rsidRPr="00B9018F">
        <w:rPr>
          <w:sz w:val="24"/>
          <w:szCs w:val="24"/>
        </w:rPr>
        <w:t xml:space="preserve"> over the principle of freedom to contract. </w:t>
      </w:r>
    </w:p>
    <w:p w14:paraId="6F90E59E" w14:textId="0646CF09" w:rsidR="00E96680" w:rsidRPr="00B9018F" w:rsidRDefault="006927FA" w:rsidP="00E96680">
      <w:pPr>
        <w:jc w:val="both"/>
        <w:rPr>
          <w:sz w:val="24"/>
          <w:szCs w:val="24"/>
        </w:rPr>
      </w:pPr>
      <w:r w:rsidRPr="00B9018F">
        <w:rPr>
          <w:sz w:val="24"/>
          <w:szCs w:val="24"/>
        </w:rPr>
        <w:tab/>
        <w:t>By way of example, th</w:t>
      </w:r>
      <w:r w:rsidR="00E96680" w:rsidRPr="00B9018F">
        <w:rPr>
          <w:sz w:val="24"/>
          <w:szCs w:val="24"/>
        </w:rPr>
        <w:t>e Texas Supreme Court has held that</w:t>
      </w:r>
      <w:r w:rsidR="00C767F2" w:rsidRPr="00C767F2">
        <w:rPr>
          <w:sz w:val="24"/>
          <w:szCs w:val="24"/>
        </w:rPr>
        <w:t xml:space="preserve"> </w:t>
      </w:r>
      <w:r w:rsidR="00C767F2" w:rsidRPr="00B9018F">
        <w:rPr>
          <w:sz w:val="24"/>
          <w:szCs w:val="24"/>
        </w:rPr>
        <w:t>concurrent causation exists</w:t>
      </w:r>
      <w:r w:rsidR="00C767F2">
        <w:rPr>
          <w:sz w:val="24"/>
          <w:szCs w:val="24"/>
        </w:rPr>
        <w:t xml:space="preserve">, and that an exclusion subject to an anti-concurrent causation clause applies, </w:t>
      </w:r>
      <w:r w:rsidR="00E96680" w:rsidRPr="00B9018F">
        <w:rPr>
          <w:sz w:val="24"/>
          <w:szCs w:val="24"/>
        </w:rPr>
        <w:t>when excluded and covered events combine to cause a loss and the two causes cannot be separated</w:t>
      </w:r>
      <w:r w:rsidR="00C767F2">
        <w:rPr>
          <w:sz w:val="24"/>
          <w:szCs w:val="24"/>
        </w:rPr>
        <w:t>.</w:t>
      </w:r>
      <w:r w:rsidR="008F0619" w:rsidRPr="00B9018F">
        <w:rPr>
          <w:rStyle w:val="FootnoteReference"/>
          <w:sz w:val="24"/>
          <w:szCs w:val="24"/>
        </w:rPr>
        <w:footnoteReference w:id="76"/>
      </w:r>
      <w:r w:rsidR="00E96680" w:rsidRPr="00B9018F">
        <w:rPr>
          <w:sz w:val="24"/>
          <w:szCs w:val="24"/>
        </w:rPr>
        <w:t xml:space="preserve"> </w:t>
      </w:r>
      <w:r w:rsidR="00C767F2">
        <w:rPr>
          <w:sz w:val="24"/>
          <w:szCs w:val="24"/>
        </w:rPr>
        <w:t>In that case, a</w:t>
      </w:r>
      <w:r w:rsidR="00E96680" w:rsidRPr="00B9018F">
        <w:rPr>
          <w:sz w:val="24"/>
          <w:szCs w:val="24"/>
        </w:rPr>
        <w:t xml:space="preserve">n insurer </w:t>
      </w:r>
      <w:r w:rsidR="00C767F2">
        <w:rPr>
          <w:sz w:val="24"/>
          <w:szCs w:val="24"/>
        </w:rPr>
        <w:t>would have</w:t>
      </w:r>
      <w:r w:rsidR="00E96680" w:rsidRPr="00B9018F">
        <w:rPr>
          <w:sz w:val="24"/>
          <w:szCs w:val="24"/>
        </w:rPr>
        <w:t xml:space="preserve"> no duty to provide coverage.</w:t>
      </w:r>
      <w:r w:rsidR="00277B3D" w:rsidRPr="00B9018F">
        <w:rPr>
          <w:rStyle w:val="FootnoteReference"/>
          <w:sz w:val="24"/>
          <w:szCs w:val="24"/>
        </w:rPr>
        <w:footnoteReference w:id="77"/>
      </w:r>
      <w:r w:rsidR="00E96680" w:rsidRPr="00B9018F">
        <w:rPr>
          <w:sz w:val="24"/>
          <w:szCs w:val="24"/>
        </w:rPr>
        <w:t xml:space="preserve"> However, when a covered and an excluded event each independently cause a loss, separate and independent causation exists, and the in</w:t>
      </w:r>
      <w:r w:rsidR="00C767F2">
        <w:rPr>
          <w:sz w:val="24"/>
          <w:szCs w:val="24"/>
        </w:rPr>
        <w:t xml:space="preserve">surer must pay for covered loss </w:t>
      </w:r>
      <w:r w:rsidR="00E96680" w:rsidRPr="00B9018F">
        <w:rPr>
          <w:sz w:val="24"/>
          <w:szCs w:val="24"/>
        </w:rPr>
        <w:t xml:space="preserve">despite </w:t>
      </w:r>
      <w:r w:rsidR="00C767F2">
        <w:rPr>
          <w:sz w:val="24"/>
          <w:szCs w:val="24"/>
        </w:rPr>
        <w:t>any</w:t>
      </w:r>
      <w:r w:rsidR="00E96680" w:rsidRPr="00B9018F">
        <w:rPr>
          <w:sz w:val="24"/>
          <w:szCs w:val="24"/>
        </w:rPr>
        <w:t xml:space="preserve"> exclusionary language.</w:t>
      </w:r>
      <w:r w:rsidR="00277B3D" w:rsidRPr="00B9018F">
        <w:rPr>
          <w:rStyle w:val="FootnoteReference"/>
          <w:sz w:val="24"/>
          <w:szCs w:val="24"/>
        </w:rPr>
        <w:footnoteReference w:id="78"/>
      </w:r>
      <w:r w:rsidR="00E96680" w:rsidRPr="00B9018F">
        <w:rPr>
          <w:sz w:val="24"/>
          <w:szCs w:val="24"/>
        </w:rPr>
        <w:t xml:space="preserve"> It is the insured</w:t>
      </w:r>
      <w:r w:rsidR="009442FB" w:rsidRPr="00B9018F">
        <w:rPr>
          <w:sz w:val="24"/>
          <w:szCs w:val="24"/>
        </w:rPr>
        <w:t>’</w:t>
      </w:r>
      <w:r w:rsidR="00E96680" w:rsidRPr="00B9018F">
        <w:rPr>
          <w:sz w:val="24"/>
          <w:szCs w:val="24"/>
        </w:rPr>
        <w:t>s burden to segregate covered and non-covered damages.</w:t>
      </w:r>
      <w:r w:rsidR="00277B3D" w:rsidRPr="00B9018F">
        <w:rPr>
          <w:rStyle w:val="FootnoteReference"/>
          <w:sz w:val="24"/>
          <w:szCs w:val="24"/>
        </w:rPr>
        <w:footnoteReference w:id="79"/>
      </w:r>
      <w:r w:rsidR="00E96680" w:rsidRPr="00B9018F">
        <w:rPr>
          <w:sz w:val="24"/>
          <w:szCs w:val="24"/>
        </w:rPr>
        <w:t xml:space="preserve"> </w:t>
      </w:r>
    </w:p>
    <w:p w14:paraId="31D18CAE" w14:textId="77777777" w:rsidR="00E96680" w:rsidRPr="00B9018F" w:rsidRDefault="00E96680" w:rsidP="00096C45">
      <w:pPr>
        <w:jc w:val="both"/>
        <w:rPr>
          <w:sz w:val="24"/>
          <w:szCs w:val="24"/>
        </w:rPr>
      </w:pPr>
    </w:p>
    <w:p w14:paraId="4F0EB6EB" w14:textId="30305501" w:rsidR="00E96680" w:rsidRPr="00B9018F" w:rsidRDefault="007C5EAD" w:rsidP="00096C45">
      <w:pPr>
        <w:jc w:val="both"/>
        <w:rPr>
          <w:sz w:val="24"/>
          <w:szCs w:val="24"/>
        </w:rPr>
      </w:pPr>
      <w:r>
        <w:rPr>
          <w:sz w:val="24"/>
          <w:szCs w:val="24"/>
        </w:rPr>
        <w:tab/>
        <w:t xml:space="preserve">In </w:t>
      </w:r>
      <w:r w:rsidR="00912E03">
        <w:rPr>
          <w:sz w:val="24"/>
          <w:szCs w:val="24"/>
        </w:rPr>
        <w:t xml:space="preserve">the Texas case of </w:t>
      </w:r>
      <w:r w:rsidR="00753F1C" w:rsidRPr="00B9018F">
        <w:rPr>
          <w:i/>
          <w:sz w:val="24"/>
          <w:szCs w:val="24"/>
        </w:rPr>
        <w:t>JAW The Pointe, LLC v. Lexington Insurance Company</w:t>
      </w:r>
      <w:r>
        <w:rPr>
          <w:sz w:val="24"/>
          <w:szCs w:val="24"/>
        </w:rPr>
        <w:t>,</w:t>
      </w:r>
      <w:r w:rsidR="002279DE" w:rsidRPr="00B9018F">
        <w:rPr>
          <w:sz w:val="24"/>
          <w:szCs w:val="24"/>
        </w:rPr>
        <w:t xml:space="preserve"> </w:t>
      </w:r>
      <w:r w:rsidR="00753F1C" w:rsidRPr="00B9018F">
        <w:rPr>
          <w:sz w:val="24"/>
          <w:szCs w:val="24"/>
        </w:rPr>
        <w:t xml:space="preserve">a hurricane caused both </w:t>
      </w:r>
      <w:r w:rsidR="00912E03">
        <w:rPr>
          <w:sz w:val="24"/>
          <w:szCs w:val="24"/>
        </w:rPr>
        <w:t xml:space="preserve">covered </w:t>
      </w:r>
      <w:r w:rsidR="00753F1C" w:rsidRPr="00B9018F">
        <w:rPr>
          <w:sz w:val="24"/>
          <w:szCs w:val="24"/>
        </w:rPr>
        <w:t xml:space="preserve">wind damage </w:t>
      </w:r>
      <w:r w:rsidR="00912E03">
        <w:rPr>
          <w:sz w:val="24"/>
          <w:szCs w:val="24"/>
        </w:rPr>
        <w:t xml:space="preserve">and uncovered flood damage to the claimant’s apartment building, </w:t>
      </w:r>
      <w:r w:rsidR="00E96680" w:rsidRPr="00B9018F">
        <w:rPr>
          <w:sz w:val="24"/>
          <w:szCs w:val="24"/>
        </w:rPr>
        <w:t xml:space="preserve">which together combined to cause enforcement of city ordinances that ultimately required </w:t>
      </w:r>
      <w:r w:rsidR="00F131C7">
        <w:rPr>
          <w:sz w:val="24"/>
          <w:szCs w:val="24"/>
        </w:rPr>
        <w:t xml:space="preserve">the </w:t>
      </w:r>
      <w:r w:rsidR="00912E03">
        <w:rPr>
          <w:sz w:val="24"/>
          <w:szCs w:val="24"/>
        </w:rPr>
        <w:t>claimant</w:t>
      </w:r>
      <w:r w:rsidR="00753F1C" w:rsidRPr="00B9018F">
        <w:rPr>
          <w:sz w:val="24"/>
          <w:szCs w:val="24"/>
        </w:rPr>
        <w:t xml:space="preserve"> to demolish and rebuild</w:t>
      </w:r>
      <w:r w:rsidR="00912E03">
        <w:rPr>
          <w:sz w:val="24"/>
          <w:szCs w:val="24"/>
        </w:rPr>
        <w:t xml:space="preserve"> its property</w:t>
      </w:r>
      <w:r w:rsidR="00753F1C" w:rsidRPr="00B9018F">
        <w:rPr>
          <w:sz w:val="24"/>
          <w:szCs w:val="24"/>
        </w:rPr>
        <w:t>.</w:t>
      </w:r>
      <w:r w:rsidRPr="00B9018F">
        <w:rPr>
          <w:rStyle w:val="FootnoteReference"/>
          <w:sz w:val="24"/>
          <w:szCs w:val="24"/>
        </w:rPr>
        <w:footnoteReference w:id="80"/>
      </w:r>
      <w:r w:rsidRPr="00B9018F">
        <w:rPr>
          <w:sz w:val="24"/>
          <w:szCs w:val="24"/>
        </w:rPr>
        <w:t xml:space="preserve"> </w:t>
      </w:r>
      <w:r w:rsidR="00753F1C" w:rsidRPr="00B9018F">
        <w:rPr>
          <w:sz w:val="24"/>
          <w:szCs w:val="24"/>
        </w:rPr>
        <w:t xml:space="preserve">The </w:t>
      </w:r>
      <w:r w:rsidR="00912E03">
        <w:rPr>
          <w:sz w:val="24"/>
          <w:szCs w:val="24"/>
        </w:rPr>
        <w:t>applicable</w:t>
      </w:r>
      <w:r w:rsidR="00753F1C" w:rsidRPr="00B9018F">
        <w:rPr>
          <w:sz w:val="24"/>
          <w:szCs w:val="24"/>
        </w:rPr>
        <w:t xml:space="preserve"> policy</w:t>
      </w:r>
      <w:r w:rsidR="009442FB" w:rsidRPr="00B9018F">
        <w:rPr>
          <w:sz w:val="24"/>
          <w:szCs w:val="24"/>
        </w:rPr>
        <w:t>’</w:t>
      </w:r>
      <w:r w:rsidR="00753F1C" w:rsidRPr="00B9018F">
        <w:rPr>
          <w:sz w:val="24"/>
          <w:szCs w:val="24"/>
        </w:rPr>
        <w:t xml:space="preserve">s </w:t>
      </w:r>
      <w:r w:rsidR="00912E03">
        <w:rPr>
          <w:sz w:val="24"/>
          <w:szCs w:val="24"/>
        </w:rPr>
        <w:t xml:space="preserve">anti-concurrent </w:t>
      </w:r>
      <w:r w:rsidR="00E96680" w:rsidRPr="00B9018F">
        <w:rPr>
          <w:sz w:val="24"/>
          <w:szCs w:val="24"/>
        </w:rPr>
        <w:t xml:space="preserve">causation clause excluded coverage for </w:t>
      </w:r>
      <w:r w:rsidR="00912E03">
        <w:rPr>
          <w:sz w:val="24"/>
          <w:szCs w:val="24"/>
        </w:rPr>
        <w:t>loss</w:t>
      </w:r>
      <w:r w:rsidR="00E96680" w:rsidRPr="00B9018F">
        <w:rPr>
          <w:sz w:val="24"/>
          <w:szCs w:val="24"/>
        </w:rPr>
        <w:t xml:space="preserve"> in </w:t>
      </w:r>
      <w:r w:rsidR="00912E03">
        <w:rPr>
          <w:sz w:val="24"/>
          <w:szCs w:val="24"/>
        </w:rPr>
        <w:t xml:space="preserve">connection with </w:t>
      </w:r>
      <w:r w:rsidR="00E96680" w:rsidRPr="00B9018F">
        <w:rPr>
          <w:sz w:val="24"/>
          <w:szCs w:val="24"/>
        </w:rPr>
        <w:t>demolishing and rebuilding apartment building in order</w:t>
      </w:r>
      <w:r w:rsidR="00753F1C" w:rsidRPr="00B9018F">
        <w:rPr>
          <w:sz w:val="24"/>
          <w:szCs w:val="24"/>
        </w:rPr>
        <w:t xml:space="preserve"> to comply with city ordinances. The </w:t>
      </w:r>
      <w:r w:rsidR="00E96680" w:rsidRPr="00B9018F">
        <w:rPr>
          <w:sz w:val="24"/>
          <w:szCs w:val="24"/>
        </w:rPr>
        <w:t xml:space="preserve">policy covered the cost of complying with city ordinances, </w:t>
      </w:r>
      <w:r w:rsidR="00753F1C" w:rsidRPr="00B9018F">
        <w:rPr>
          <w:sz w:val="24"/>
          <w:szCs w:val="24"/>
        </w:rPr>
        <w:t>but the</w:t>
      </w:r>
      <w:r w:rsidR="00E96680" w:rsidRPr="00B9018F">
        <w:rPr>
          <w:sz w:val="24"/>
          <w:szCs w:val="24"/>
        </w:rPr>
        <w:t xml:space="preserve"> coverage applied </w:t>
      </w:r>
      <w:r w:rsidR="00912E03" w:rsidRPr="00B9018F">
        <w:rPr>
          <w:sz w:val="24"/>
          <w:szCs w:val="24"/>
        </w:rPr>
        <w:t xml:space="preserve">only </w:t>
      </w:r>
      <w:r w:rsidR="00E96680" w:rsidRPr="00B9018F">
        <w:rPr>
          <w:sz w:val="24"/>
          <w:szCs w:val="24"/>
        </w:rPr>
        <w:t>if the policy covered the property damage that triggered the enforcement of the ordinances, and, pursuan</w:t>
      </w:r>
      <w:r w:rsidR="00912E03">
        <w:rPr>
          <w:sz w:val="24"/>
          <w:szCs w:val="24"/>
        </w:rPr>
        <w:t xml:space="preserve">t to the anti-concurrent </w:t>
      </w:r>
      <w:r w:rsidR="00E96680" w:rsidRPr="00B9018F">
        <w:rPr>
          <w:sz w:val="24"/>
          <w:szCs w:val="24"/>
        </w:rPr>
        <w:t>causation clause, the policy did not cover damage caused by the hurricane, as the policy excluded flood damage, which was a concurrent cause of the damage to the building.</w:t>
      </w:r>
      <w:r w:rsidR="00753F1C" w:rsidRPr="00B9018F">
        <w:rPr>
          <w:sz w:val="24"/>
          <w:szCs w:val="24"/>
        </w:rPr>
        <w:t xml:space="preserve"> The Texas Supreme Court </w:t>
      </w:r>
      <w:r w:rsidR="00912E03">
        <w:rPr>
          <w:sz w:val="24"/>
          <w:szCs w:val="24"/>
        </w:rPr>
        <w:t xml:space="preserve">accordingly </w:t>
      </w:r>
      <w:r w:rsidR="00753F1C" w:rsidRPr="00B9018F">
        <w:rPr>
          <w:sz w:val="24"/>
          <w:szCs w:val="24"/>
        </w:rPr>
        <w:t xml:space="preserve">upheld the exclusion. </w:t>
      </w:r>
    </w:p>
    <w:p w14:paraId="3DEB95BB" w14:textId="0CCA8E6F" w:rsidR="00113DA4" w:rsidRPr="00B9018F" w:rsidRDefault="00113DA4" w:rsidP="00802514">
      <w:pPr>
        <w:tabs>
          <w:tab w:val="left" w:pos="6220"/>
        </w:tabs>
        <w:jc w:val="both"/>
        <w:rPr>
          <w:sz w:val="24"/>
          <w:szCs w:val="24"/>
        </w:rPr>
      </w:pPr>
    </w:p>
    <w:p w14:paraId="38004888" w14:textId="27529A97" w:rsidR="0059791C" w:rsidRPr="00B9018F" w:rsidRDefault="0059791C" w:rsidP="00176683">
      <w:pPr>
        <w:jc w:val="both"/>
        <w:rPr>
          <w:b/>
          <w:sz w:val="24"/>
          <w:szCs w:val="24"/>
        </w:rPr>
      </w:pPr>
      <w:r w:rsidRPr="00B9018F">
        <w:rPr>
          <w:b/>
          <w:sz w:val="24"/>
          <w:szCs w:val="24"/>
        </w:rPr>
        <w:t>(6)</w:t>
      </w:r>
      <w:r w:rsidRPr="00B9018F">
        <w:rPr>
          <w:b/>
          <w:sz w:val="24"/>
          <w:szCs w:val="24"/>
        </w:rPr>
        <w:tab/>
        <w:t>Do any exclusions apply?</w:t>
      </w:r>
    </w:p>
    <w:p w14:paraId="0E328F06" w14:textId="7E824CC5" w:rsidR="00386D58" w:rsidRPr="00B9018F" w:rsidRDefault="00386D58" w:rsidP="00176683">
      <w:pPr>
        <w:jc w:val="both"/>
        <w:rPr>
          <w:sz w:val="24"/>
          <w:szCs w:val="24"/>
        </w:rPr>
      </w:pPr>
    </w:p>
    <w:p w14:paraId="1D703848" w14:textId="484F1EE6" w:rsidR="00010DB6" w:rsidRPr="00B9018F" w:rsidRDefault="00386D58" w:rsidP="001F0F83">
      <w:pPr>
        <w:jc w:val="both"/>
        <w:rPr>
          <w:sz w:val="24"/>
          <w:szCs w:val="24"/>
        </w:rPr>
      </w:pPr>
      <w:r w:rsidRPr="00B9018F">
        <w:rPr>
          <w:sz w:val="24"/>
          <w:szCs w:val="24"/>
        </w:rPr>
        <w:tab/>
      </w:r>
      <w:r w:rsidR="004F4D6D" w:rsidRPr="00B9018F">
        <w:rPr>
          <w:sz w:val="24"/>
          <w:szCs w:val="24"/>
        </w:rPr>
        <w:t>Certain exclusions</w:t>
      </w:r>
      <w:r w:rsidR="00B949D1" w:rsidRPr="00B9018F">
        <w:rPr>
          <w:sz w:val="24"/>
          <w:szCs w:val="24"/>
        </w:rPr>
        <w:t xml:space="preserve"> may be </w:t>
      </w:r>
      <w:r w:rsidR="00912E03">
        <w:rPr>
          <w:sz w:val="24"/>
          <w:szCs w:val="24"/>
        </w:rPr>
        <w:t xml:space="preserve">particularly </w:t>
      </w:r>
      <w:r w:rsidR="00B949D1" w:rsidRPr="00B9018F">
        <w:rPr>
          <w:sz w:val="24"/>
          <w:szCs w:val="24"/>
        </w:rPr>
        <w:t xml:space="preserve">relevant to </w:t>
      </w:r>
      <w:r w:rsidR="00912E03">
        <w:rPr>
          <w:sz w:val="24"/>
          <w:szCs w:val="24"/>
        </w:rPr>
        <w:t xml:space="preserve">evaluating potential coverage for </w:t>
      </w:r>
      <w:r w:rsidR="001F0F83" w:rsidRPr="00B9018F">
        <w:rPr>
          <w:sz w:val="24"/>
          <w:szCs w:val="24"/>
        </w:rPr>
        <w:t>climate change claim</w:t>
      </w:r>
      <w:r w:rsidR="00912E03">
        <w:rPr>
          <w:sz w:val="24"/>
          <w:szCs w:val="24"/>
        </w:rPr>
        <w:t>s</w:t>
      </w:r>
      <w:r w:rsidR="001F0F83" w:rsidRPr="00B9018F">
        <w:rPr>
          <w:sz w:val="24"/>
          <w:szCs w:val="24"/>
        </w:rPr>
        <w:t xml:space="preserve">. The treatment of these issues is ultimately state-specific and often turns on the </w:t>
      </w:r>
      <w:r w:rsidR="006927FA" w:rsidRPr="00B9018F">
        <w:rPr>
          <w:sz w:val="24"/>
          <w:szCs w:val="24"/>
        </w:rPr>
        <w:t>particular</w:t>
      </w:r>
      <w:r w:rsidR="001F0F83" w:rsidRPr="00B9018F">
        <w:rPr>
          <w:sz w:val="24"/>
          <w:szCs w:val="24"/>
        </w:rPr>
        <w:t xml:space="preserve"> facts of the case and the </w:t>
      </w:r>
      <w:r w:rsidR="006927FA" w:rsidRPr="00B9018F">
        <w:rPr>
          <w:sz w:val="24"/>
          <w:szCs w:val="24"/>
        </w:rPr>
        <w:t>precise</w:t>
      </w:r>
      <w:r w:rsidR="001F0F83" w:rsidRPr="00B9018F">
        <w:rPr>
          <w:sz w:val="24"/>
          <w:szCs w:val="24"/>
        </w:rPr>
        <w:t xml:space="preserve"> language of the applicable policy.</w:t>
      </w:r>
    </w:p>
    <w:p w14:paraId="2FEB7FCA" w14:textId="77777777" w:rsidR="00010DB6" w:rsidRPr="00B9018F" w:rsidRDefault="00010DB6" w:rsidP="001F0F83">
      <w:pPr>
        <w:jc w:val="both"/>
        <w:rPr>
          <w:sz w:val="24"/>
          <w:szCs w:val="24"/>
        </w:rPr>
      </w:pPr>
    </w:p>
    <w:p w14:paraId="1B25FD75" w14:textId="6D4E5E43" w:rsidR="001F0F83" w:rsidRPr="00B9018F" w:rsidRDefault="00010DB6" w:rsidP="001F0F83">
      <w:pPr>
        <w:jc w:val="both"/>
        <w:rPr>
          <w:b/>
          <w:sz w:val="24"/>
          <w:szCs w:val="24"/>
        </w:rPr>
      </w:pPr>
      <w:r w:rsidRPr="00B9018F">
        <w:rPr>
          <w:b/>
          <w:sz w:val="24"/>
          <w:szCs w:val="24"/>
        </w:rPr>
        <w:tab/>
        <w:t>(a)</w:t>
      </w:r>
      <w:r w:rsidRPr="00B9018F">
        <w:rPr>
          <w:b/>
          <w:sz w:val="24"/>
          <w:szCs w:val="24"/>
        </w:rPr>
        <w:tab/>
        <w:t>The Pollution Exclusions</w:t>
      </w:r>
      <w:r w:rsidR="009442FB" w:rsidRPr="00B9018F">
        <w:rPr>
          <w:b/>
          <w:sz w:val="24"/>
          <w:szCs w:val="24"/>
        </w:rPr>
        <w:t xml:space="preserve"> </w:t>
      </w:r>
    </w:p>
    <w:p w14:paraId="34B88A83" w14:textId="77777777" w:rsidR="006927FA" w:rsidRPr="00B9018F" w:rsidRDefault="006927FA" w:rsidP="008F0750">
      <w:pPr>
        <w:pStyle w:val="Footer"/>
        <w:ind w:firstLine="720"/>
        <w:jc w:val="both"/>
        <w:rPr>
          <w:sz w:val="24"/>
          <w:szCs w:val="24"/>
        </w:rPr>
      </w:pPr>
    </w:p>
    <w:p w14:paraId="55A07EA3" w14:textId="1F7F6A7C" w:rsidR="008F0750" w:rsidRPr="00B9018F" w:rsidRDefault="006927FA" w:rsidP="008F0750">
      <w:pPr>
        <w:pStyle w:val="Footer"/>
        <w:ind w:firstLine="720"/>
        <w:jc w:val="both"/>
        <w:rPr>
          <w:sz w:val="24"/>
          <w:szCs w:val="24"/>
        </w:rPr>
      </w:pPr>
      <w:r w:rsidRPr="00B9018F">
        <w:rPr>
          <w:sz w:val="24"/>
          <w:szCs w:val="24"/>
        </w:rPr>
        <w:t>Pollution exclusions, in particular, will almost always be implicated by the allegations in a</w:t>
      </w:r>
      <w:r w:rsidR="009442FB" w:rsidRPr="00B9018F">
        <w:rPr>
          <w:sz w:val="24"/>
          <w:szCs w:val="24"/>
        </w:rPr>
        <w:t xml:space="preserve"> </w:t>
      </w:r>
      <w:r w:rsidRPr="00B9018F">
        <w:rPr>
          <w:sz w:val="24"/>
          <w:szCs w:val="24"/>
        </w:rPr>
        <w:t xml:space="preserve">typical liability claim involving damages because of climate change. </w:t>
      </w:r>
      <w:r w:rsidR="002570FB" w:rsidRPr="00B9018F">
        <w:rPr>
          <w:sz w:val="24"/>
          <w:szCs w:val="24"/>
        </w:rPr>
        <w:t>Pollution exclusions broadly apply to preclude cove</w:t>
      </w:r>
      <w:r w:rsidR="00F131C7">
        <w:rPr>
          <w:sz w:val="24"/>
          <w:szCs w:val="24"/>
        </w:rPr>
        <w:t>r</w:t>
      </w:r>
      <w:r w:rsidR="002570FB" w:rsidRPr="00B9018F">
        <w:rPr>
          <w:sz w:val="24"/>
          <w:szCs w:val="24"/>
        </w:rPr>
        <w:t xml:space="preserve">age for damage caused by a pollutant. The two most common types include </w:t>
      </w:r>
      <w:r w:rsidR="009442FB" w:rsidRPr="00B9018F">
        <w:rPr>
          <w:sz w:val="24"/>
          <w:szCs w:val="24"/>
        </w:rPr>
        <w:t>“</w:t>
      </w:r>
      <w:r w:rsidR="002570FB" w:rsidRPr="00B9018F">
        <w:rPr>
          <w:sz w:val="24"/>
          <w:szCs w:val="24"/>
        </w:rPr>
        <w:t>absolute</w:t>
      </w:r>
      <w:r w:rsidR="009442FB" w:rsidRPr="00B9018F">
        <w:rPr>
          <w:sz w:val="24"/>
          <w:szCs w:val="24"/>
        </w:rPr>
        <w:t>”</w:t>
      </w:r>
      <w:r w:rsidR="002570FB" w:rsidRPr="00B9018F">
        <w:rPr>
          <w:sz w:val="24"/>
          <w:szCs w:val="24"/>
        </w:rPr>
        <w:t xml:space="preserve"> and </w:t>
      </w:r>
      <w:r w:rsidR="009442FB" w:rsidRPr="00B9018F">
        <w:rPr>
          <w:sz w:val="24"/>
          <w:szCs w:val="24"/>
        </w:rPr>
        <w:t>“</w:t>
      </w:r>
      <w:r w:rsidR="002570FB" w:rsidRPr="00B9018F">
        <w:rPr>
          <w:sz w:val="24"/>
          <w:szCs w:val="24"/>
        </w:rPr>
        <w:t>total</w:t>
      </w:r>
      <w:r w:rsidR="009442FB" w:rsidRPr="00B9018F">
        <w:rPr>
          <w:sz w:val="24"/>
          <w:szCs w:val="24"/>
        </w:rPr>
        <w:t>”</w:t>
      </w:r>
      <w:r w:rsidR="002570FB" w:rsidRPr="00B9018F">
        <w:rPr>
          <w:sz w:val="24"/>
          <w:szCs w:val="24"/>
        </w:rPr>
        <w:t xml:space="preserve"> pollution exclusions. </w:t>
      </w:r>
      <w:r w:rsidR="007421D6" w:rsidRPr="00B9018F">
        <w:rPr>
          <w:sz w:val="24"/>
          <w:szCs w:val="24"/>
        </w:rPr>
        <w:t>The</w:t>
      </w:r>
      <w:r w:rsidR="008F0750" w:rsidRPr="00B9018F">
        <w:rPr>
          <w:sz w:val="24"/>
          <w:szCs w:val="24"/>
        </w:rPr>
        <w:t xml:space="preserve"> standard </w:t>
      </w:r>
      <w:r w:rsidR="009442FB" w:rsidRPr="00B9018F">
        <w:rPr>
          <w:sz w:val="24"/>
          <w:szCs w:val="24"/>
        </w:rPr>
        <w:t>“</w:t>
      </w:r>
      <w:r w:rsidR="008F0750" w:rsidRPr="00B9018F">
        <w:rPr>
          <w:sz w:val="24"/>
          <w:szCs w:val="24"/>
        </w:rPr>
        <w:t>absolute</w:t>
      </w:r>
      <w:r w:rsidR="009442FB" w:rsidRPr="00B9018F">
        <w:rPr>
          <w:sz w:val="24"/>
          <w:szCs w:val="24"/>
        </w:rPr>
        <w:t>”</w:t>
      </w:r>
      <w:r w:rsidR="008F0750" w:rsidRPr="00B9018F">
        <w:rPr>
          <w:sz w:val="24"/>
          <w:szCs w:val="24"/>
        </w:rPr>
        <w:t xml:space="preserve"> pollution exclusion states:</w:t>
      </w:r>
    </w:p>
    <w:p w14:paraId="092720FD" w14:textId="77777777" w:rsidR="008F0750" w:rsidRDefault="008F0750" w:rsidP="008F0750">
      <w:pPr>
        <w:pStyle w:val="Footer"/>
        <w:ind w:left="1440" w:right="720"/>
        <w:jc w:val="both"/>
        <w:rPr>
          <w:sz w:val="24"/>
          <w:szCs w:val="24"/>
        </w:rPr>
      </w:pPr>
    </w:p>
    <w:p w14:paraId="6B1EA84C" w14:textId="77777777" w:rsidR="00064338" w:rsidRDefault="00064338" w:rsidP="008F0750">
      <w:pPr>
        <w:pStyle w:val="Footer"/>
        <w:ind w:left="1440" w:right="720"/>
        <w:jc w:val="both"/>
        <w:rPr>
          <w:sz w:val="24"/>
          <w:szCs w:val="24"/>
        </w:rPr>
      </w:pPr>
    </w:p>
    <w:p w14:paraId="122B4AD9" w14:textId="77777777" w:rsidR="00064338" w:rsidRDefault="00064338" w:rsidP="008F0750">
      <w:pPr>
        <w:pStyle w:val="Footer"/>
        <w:ind w:left="1440" w:right="720"/>
        <w:jc w:val="both"/>
        <w:rPr>
          <w:sz w:val="24"/>
          <w:szCs w:val="24"/>
        </w:rPr>
      </w:pPr>
    </w:p>
    <w:p w14:paraId="21E31537" w14:textId="77777777" w:rsidR="00064338" w:rsidRDefault="00064338" w:rsidP="008F0750">
      <w:pPr>
        <w:pStyle w:val="Footer"/>
        <w:ind w:left="1440" w:right="720"/>
        <w:jc w:val="both"/>
        <w:rPr>
          <w:sz w:val="24"/>
          <w:szCs w:val="24"/>
        </w:rPr>
      </w:pPr>
    </w:p>
    <w:p w14:paraId="1FB1A32B" w14:textId="77777777" w:rsidR="00064338" w:rsidRDefault="00064338" w:rsidP="008F0750">
      <w:pPr>
        <w:pStyle w:val="Footer"/>
        <w:ind w:left="1440" w:right="720"/>
        <w:jc w:val="both"/>
        <w:rPr>
          <w:sz w:val="24"/>
          <w:szCs w:val="24"/>
        </w:rPr>
      </w:pPr>
    </w:p>
    <w:p w14:paraId="3D29415C" w14:textId="77777777" w:rsidR="008F0750" w:rsidRPr="00B9018F" w:rsidRDefault="008F0750" w:rsidP="00A820F4">
      <w:pPr>
        <w:pStyle w:val="Footer"/>
        <w:ind w:left="720" w:right="720"/>
        <w:jc w:val="both"/>
        <w:rPr>
          <w:sz w:val="24"/>
          <w:szCs w:val="24"/>
        </w:rPr>
      </w:pPr>
      <w:r w:rsidRPr="00B9018F">
        <w:rPr>
          <w:sz w:val="24"/>
          <w:szCs w:val="24"/>
        </w:rPr>
        <w:t>This insurance does not apply to:</w:t>
      </w:r>
    </w:p>
    <w:p w14:paraId="72BD29C8" w14:textId="77777777" w:rsidR="008F0750" w:rsidRPr="00B9018F" w:rsidRDefault="008F0750" w:rsidP="008F0750">
      <w:pPr>
        <w:pStyle w:val="Footer"/>
        <w:ind w:left="1440" w:right="720"/>
        <w:jc w:val="both"/>
        <w:rPr>
          <w:sz w:val="24"/>
          <w:szCs w:val="24"/>
        </w:rPr>
      </w:pPr>
    </w:p>
    <w:p w14:paraId="5DF8C2CF" w14:textId="0D6F3E2C" w:rsidR="008F0750" w:rsidRPr="00B9018F" w:rsidRDefault="002570FB" w:rsidP="002570FB">
      <w:pPr>
        <w:pStyle w:val="Footer"/>
        <w:tabs>
          <w:tab w:val="left" w:pos="1440"/>
        </w:tabs>
        <w:ind w:left="1080" w:right="720" w:hanging="360"/>
        <w:jc w:val="both"/>
        <w:rPr>
          <w:sz w:val="24"/>
          <w:szCs w:val="24"/>
        </w:rPr>
      </w:pPr>
      <w:r w:rsidRPr="00B9018F">
        <w:rPr>
          <w:b/>
          <w:sz w:val="24"/>
          <w:szCs w:val="24"/>
        </w:rPr>
        <w:t>f.</w:t>
      </w:r>
      <w:r w:rsidRPr="00B9018F">
        <w:rPr>
          <w:b/>
          <w:sz w:val="24"/>
          <w:szCs w:val="24"/>
        </w:rPr>
        <w:tab/>
        <w:t>(1)</w:t>
      </w:r>
      <w:r w:rsidRPr="00B9018F">
        <w:rPr>
          <w:sz w:val="24"/>
          <w:szCs w:val="24"/>
        </w:rPr>
        <w:tab/>
      </w:r>
      <w:r w:rsidRPr="00B9018F">
        <w:rPr>
          <w:sz w:val="24"/>
          <w:szCs w:val="24"/>
        </w:rPr>
        <w:tab/>
      </w:r>
      <w:r w:rsidR="009442FB" w:rsidRPr="00B9018F">
        <w:rPr>
          <w:sz w:val="24"/>
          <w:szCs w:val="24"/>
        </w:rPr>
        <w:t>“</w:t>
      </w:r>
      <w:r w:rsidR="008F0750" w:rsidRPr="00B9018F">
        <w:rPr>
          <w:sz w:val="24"/>
          <w:szCs w:val="24"/>
        </w:rPr>
        <w:t>Bodily injury</w:t>
      </w:r>
      <w:r w:rsidR="009442FB" w:rsidRPr="00B9018F">
        <w:rPr>
          <w:sz w:val="24"/>
          <w:szCs w:val="24"/>
        </w:rPr>
        <w:t>”</w:t>
      </w:r>
      <w:r w:rsidR="008F0750" w:rsidRPr="00B9018F">
        <w:rPr>
          <w:sz w:val="24"/>
          <w:szCs w:val="24"/>
        </w:rPr>
        <w:t xml:space="preserve"> or </w:t>
      </w:r>
      <w:r w:rsidR="009442FB" w:rsidRPr="00B9018F">
        <w:rPr>
          <w:sz w:val="24"/>
          <w:szCs w:val="24"/>
        </w:rPr>
        <w:t>“</w:t>
      </w:r>
      <w:r w:rsidR="008F0750" w:rsidRPr="00B9018F">
        <w:rPr>
          <w:sz w:val="24"/>
          <w:szCs w:val="24"/>
        </w:rPr>
        <w:t>property damage</w:t>
      </w:r>
      <w:r w:rsidR="009442FB" w:rsidRPr="00B9018F">
        <w:rPr>
          <w:sz w:val="24"/>
          <w:szCs w:val="24"/>
        </w:rPr>
        <w:t>”</w:t>
      </w:r>
      <w:r w:rsidR="008F0750" w:rsidRPr="00B9018F">
        <w:rPr>
          <w:sz w:val="24"/>
          <w:szCs w:val="24"/>
        </w:rPr>
        <w:t xml:space="preserve"> arising out of the actual, alleged or threatened discharge, dispersal, seepage, migration, release or escape of pollutants: </w:t>
      </w:r>
    </w:p>
    <w:p w14:paraId="2B566148" w14:textId="77777777" w:rsidR="008F0750" w:rsidRPr="00B9018F" w:rsidRDefault="008F0750" w:rsidP="008F0750">
      <w:pPr>
        <w:pStyle w:val="Footer"/>
        <w:ind w:left="720" w:right="720" w:firstLine="720"/>
        <w:jc w:val="both"/>
        <w:rPr>
          <w:sz w:val="24"/>
          <w:szCs w:val="24"/>
        </w:rPr>
      </w:pPr>
    </w:p>
    <w:p w14:paraId="2BDED815" w14:textId="77777777" w:rsidR="008F0750" w:rsidRPr="00B9018F" w:rsidRDefault="008F0750" w:rsidP="002570FB">
      <w:pPr>
        <w:pStyle w:val="Footer"/>
        <w:ind w:left="1800" w:right="720" w:hanging="360"/>
        <w:jc w:val="both"/>
        <w:rPr>
          <w:sz w:val="24"/>
          <w:szCs w:val="24"/>
        </w:rPr>
      </w:pPr>
      <w:r w:rsidRPr="00B9018F">
        <w:rPr>
          <w:b/>
          <w:sz w:val="24"/>
          <w:szCs w:val="24"/>
        </w:rPr>
        <w:t>(a)</w:t>
      </w:r>
      <w:r w:rsidRPr="00B9018F">
        <w:rPr>
          <w:b/>
          <w:sz w:val="24"/>
          <w:szCs w:val="24"/>
        </w:rPr>
        <w:tab/>
      </w:r>
      <w:r w:rsidRPr="00B9018F">
        <w:rPr>
          <w:sz w:val="24"/>
          <w:szCs w:val="24"/>
        </w:rPr>
        <w:t>At or from any premises you own, rent or occupy;</w:t>
      </w:r>
    </w:p>
    <w:p w14:paraId="1F1457B3" w14:textId="77777777" w:rsidR="008F0750" w:rsidRPr="00B9018F" w:rsidRDefault="008F0750" w:rsidP="00A820F4">
      <w:pPr>
        <w:pStyle w:val="Footer"/>
        <w:ind w:left="2160" w:right="720"/>
        <w:jc w:val="both"/>
        <w:rPr>
          <w:sz w:val="24"/>
          <w:szCs w:val="24"/>
        </w:rPr>
      </w:pPr>
    </w:p>
    <w:p w14:paraId="6A753F19" w14:textId="77777777" w:rsidR="008F0750" w:rsidRPr="00B9018F" w:rsidRDefault="008F0750" w:rsidP="002570FB">
      <w:pPr>
        <w:pStyle w:val="Footer"/>
        <w:ind w:left="1800" w:right="720" w:hanging="360"/>
        <w:jc w:val="both"/>
        <w:rPr>
          <w:sz w:val="24"/>
          <w:szCs w:val="24"/>
        </w:rPr>
      </w:pPr>
      <w:r w:rsidRPr="00B9018F">
        <w:rPr>
          <w:b/>
          <w:sz w:val="24"/>
          <w:szCs w:val="24"/>
        </w:rPr>
        <w:t>(b)</w:t>
      </w:r>
      <w:r w:rsidRPr="00B9018F">
        <w:rPr>
          <w:sz w:val="24"/>
          <w:szCs w:val="24"/>
        </w:rPr>
        <w:tab/>
        <w:t xml:space="preserve">At or from any site or location used by or for you for the handling, storage, disposal, processing or treatment of waste; </w:t>
      </w:r>
    </w:p>
    <w:p w14:paraId="2F029074" w14:textId="77777777" w:rsidR="008F0750" w:rsidRPr="00B9018F" w:rsidRDefault="008F0750" w:rsidP="00A820F4">
      <w:pPr>
        <w:pStyle w:val="Footer"/>
        <w:ind w:left="2160" w:right="720"/>
        <w:jc w:val="both"/>
        <w:rPr>
          <w:sz w:val="24"/>
          <w:szCs w:val="24"/>
        </w:rPr>
      </w:pPr>
    </w:p>
    <w:p w14:paraId="106C7AF9" w14:textId="77777777" w:rsidR="008F0750" w:rsidRPr="00B9018F" w:rsidRDefault="008F0750" w:rsidP="002570FB">
      <w:pPr>
        <w:pStyle w:val="Footer"/>
        <w:ind w:left="1800" w:right="720" w:hanging="360"/>
        <w:jc w:val="both"/>
        <w:rPr>
          <w:sz w:val="24"/>
          <w:szCs w:val="24"/>
        </w:rPr>
      </w:pPr>
      <w:r w:rsidRPr="00B9018F">
        <w:rPr>
          <w:b/>
          <w:sz w:val="24"/>
          <w:szCs w:val="24"/>
        </w:rPr>
        <w:t>(c)</w:t>
      </w:r>
      <w:r w:rsidRPr="00B9018F">
        <w:rPr>
          <w:sz w:val="24"/>
          <w:szCs w:val="24"/>
        </w:rPr>
        <w:tab/>
        <w:t xml:space="preserve">Which are or were at any time transported, handled, stored, treated, disposed of, or processed as waste by or for you or any person or organization for whom you may be legally responsible; or </w:t>
      </w:r>
    </w:p>
    <w:p w14:paraId="2CB66B37" w14:textId="77777777" w:rsidR="008F0750" w:rsidRPr="00B9018F" w:rsidRDefault="008F0750" w:rsidP="008F0750">
      <w:pPr>
        <w:pStyle w:val="Footer"/>
        <w:ind w:left="720" w:right="720"/>
        <w:jc w:val="both"/>
        <w:rPr>
          <w:sz w:val="24"/>
          <w:szCs w:val="24"/>
        </w:rPr>
      </w:pPr>
    </w:p>
    <w:p w14:paraId="6D3BDEC4" w14:textId="77777777" w:rsidR="008F0750" w:rsidRPr="00B9018F" w:rsidRDefault="008F0750" w:rsidP="002570FB">
      <w:pPr>
        <w:pStyle w:val="Footer"/>
        <w:ind w:left="1800" w:right="720" w:hanging="360"/>
        <w:jc w:val="both"/>
        <w:rPr>
          <w:sz w:val="24"/>
          <w:szCs w:val="24"/>
        </w:rPr>
      </w:pPr>
      <w:r w:rsidRPr="00B9018F">
        <w:rPr>
          <w:b/>
          <w:sz w:val="24"/>
          <w:szCs w:val="24"/>
        </w:rPr>
        <w:t>(d)</w:t>
      </w:r>
      <w:r w:rsidRPr="00B9018F">
        <w:rPr>
          <w:sz w:val="24"/>
          <w:szCs w:val="24"/>
        </w:rPr>
        <w:tab/>
        <w:t>At or from any site or location on which you or any contractors or subcontractors working directly or indirectly on your behalf are performing operations:</w:t>
      </w:r>
    </w:p>
    <w:p w14:paraId="2CDDF17A" w14:textId="77777777" w:rsidR="008F0750" w:rsidRPr="00B9018F" w:rsidRDefault="008F0750" w:rsidP="008F0750">
      <w:pPr>
        <w:pStyle w:val="Footer"/>
        <w:ind w:left="720" w:right="720"/>
        <w:jc w:val="both"/>
        <w:rPr>
          <w:sz w:val="24"/>
          <w:szCs w:val="24"/>
        </w:rPr>
      </w:pPr>
    </w:p>
    <w:p w14:paraId="59859AED" w14:textId="77777777" w:rsidR="008F0750" w:rsidRPr="00B9018F" w:rsidRDefault="008F0750" w:rsidP="002570FB">
      <w:pPr>
        <w:pStyle w:val="Footer"/>
        <w:ind w:left="2160" w:right="720" w:hanging="360"/>
        <w:jc w:val="both"/>
        <w:rPr>
          <w:sz w:val="24"/>
          <w:szCs w:val="24"/>
        </w:rPr>
      </w:pPr>
      <w:r w:rsidRPr="00B9018F">
        <w:rPr>
          <w:b/>
          <w:sz w:val="24"/>
          <w:szCs w:val="24"/>
        </w:rPr>
        <w:t>(i)</w:t>
      </w:r>
      <w:r w:rsidRPr="00B9018F">
        <w:rPr>
          <w:sz w:val="24"/>
          <w:szCs w:val="24"/>
        </w:rPr>
        <w:tab/>
        <w:t>if the pollutants are brought on or to the site or location in connection with such operations; or</w:t>
      </w:r>
    </w:p>
    <w:p w14:paraId="75956C7B" w14:textId="77777777" w:rsidR="008F0750" w:rsidRPr="00B9018F" w:rsidRDefault="008F0750" w:rsidP="00A820F4">
      <w:pPr>
        <w:pStyle w:val="Footer"/>
        <w:ind w:left="2880" w:right="720"/>
        <w:jc w:val="both"/>
        <w:rPr>
          <w:sz w:val="24"/>
          <w:szCs w:val="24"/>
        </w:rPr>
      </w:pPr>
    </w:p>
    <w:p w14:paraId="006FAA97" w14:textId="26E9FB29" w:rsidR="008F0750" w:rsidRPr="00B9018F" w:rsidRDefault="008F0750" w:rsidP="002570FB">
      <w:pPr>
        <w:pStyle w:val="Footer"/>
        <w:ind w:left="2160" w:right="720" w:hanging="360"/>
        <w:jc w:val="both"/>
        <w:rPr>
          <w:sz w:val="24"/>
          <w:szCs w:val="24"/>
        </w:rPr>
      </w:pPr>
      <w:r w:rsidRPr="00B9018F">
        <w:rPr>
          <w:b/>
          <w:sz w:val="24"/>
          <w:szCs w:val="24"/>
        </w:rPr>
        <w:t>(ii)</w:t>
      </w:r>
      <w:r w:rsidRPr="00B9018F">
        <w:rPr>
          <w:sz w:val="24"/>
          <w:szCs w:val="24"/>
        </w:rPr>
        <w:tab/>
        <w:t>if the operations are to test for, monitor, clean up, remove, contain, treat, detoxify or neutralize the pollutants.</w:t>
      </w:r>
      <w:r w:rsidR="009442FB" w:rsidRPr="00B9018F">
        <w:rPr>
          <w:sz w:val="24"/>
          <w:szCs w:val="24"/>
        </w:rPr>
        <w:t xml:space="preserve"> </w:t>
      </w:r>
    </w:p>
    <w:p w14:paraId="56F018BA" w14:textId="77777777" w:rsidR="008F0750" w:rsidRPr="00B9018F" w:rsidRDefault="008F0750" w:rsidP="008F0750">
      <w:pPr>
        <w:pStyle w:val="Footer"/>
        <w:ind w:left="3600" w:right="720" w:hanging="720"/>
        <w:jc w:val="both"/>
        <w:rPr>
          <w:sz w:val="24"/>
          <w:szCs w:val="24"/>
        </w:rPr>
      </w:pPr>
    </w:p>
    <w:p w14:paraId="53F1886A" w14:textId="4F60E61B" w:rsidR="008F0750" w:rsidRPr="00B9018F" w:rsidRDefault="002570FB" w:rsidP="002570FB">
      <w:pPr>
        <w:pStyle w:val="Footer"/>
        <w:ind w:left="1440" w:right="720" w:hanging="360"/>
        <w:jc w:val="both"/>
        <w:rPr>
          <w:sz w:val="24"/>
          <w:szCs w:val="24"/>
        </w:rPr>
      </w:pPr>
      <w:r w:rsidRPr="00B9018F">
        <w:rPr>
          <w:b/>
          <w:sz w:val="24"/>
          <w:szCs w:val="24"/>
        </w:rPr>
        <w:t>(2)</w:t>
      </w:r>
      <w:r w:rsidRPr="00B9018F">
        <w:rPr>
          <w:sz w:val="24"/>
          <w:szCs w:val="24"/>
        </w:rPr>
        <w:tab/>
      </w:r>
      <w:r w:rsidR="008F0750" w:rsidRPr="00B9018F">
        <w:rPr>
          <w:sz w:val="24"/>
          <w:szCs w:val="24"/>
        </w:rPr>
        <w:t>Any loss, cost or expense arising out of any governmental direction or request that you test for, monitor, clean up, remove, contain, treat, detoxify or neutralize pollutants.</w:t>
      </w:r>
    </w:p>
    <w:p w14:paraId="740B1E93" w14:textId="77777777" w:rsidR="008F0750" w:rsidRPr="00B9018F" w:rsidRDefault="008F0750" w:rsidP="008F0750">
      <w:pPr>
        <w:pStyle w:val="Footer"/>
        <w:ind w:left="2880" w:right="720" w:hanging="720"/>
        <w:jc w:val="both"/>
        <w:rPr>
          <w:sz w:val="24"/>
          <w:szCs w:val="24"/>
        </w:rPr>
      </w:pPr>
    </w:p>
    <w:p w14:paraId="69A0E5F6" w14:textId="65840A3D" w:rsidR="008F0750" w:rsidRPr="00B9018F" w:rsidRDefault="008F0750" w:rsidP="00A820F4">
      <w:pPr>
        <w:pStyle w:val="Footer"/>
        <w:ind w:left="1440" w:right="720"/>
        <w:jc w:val="both"/>
        <w:rPr>
          <w:sz w:val="24"/>
          <w:szCs w:val="24"/>
        </w:rPr>
      </w:pPr>
      <w:r w:rsidRPr="00B9018F">
        <w:rPr>
          <w:sz w:val="24"/>
          <w:szCs w:val="24"/>
        </w:rPr>
        <w:t>Pollutants means any solid, liquid, gaseous or thermal irritant or contaminant, including smoke, vapor, soot, fumes, acids, alkalis, chemicals and waste.</w:t>
      </w:r>
      <w:r w:rsidR="009442FB" w:rsidRPr="00B9018F">
        <w:rPr>
          <w:sz w:val="24"/>
          <w:szCs w:val="24"/>
        </w:rPr>
        <w:t xml:space="preserve"> </w:t>
      </w:r>
      <w:r w:rsidRPr="00B9018F">
        <w:rPr>
          <w:sz w:val="24"/>
          <w:szCs w:val="24"/>
        </w:rPr>
        <w:t>Waste includes materials to be recycled, reconditioned or reclaimed.</w:t>
      </w:r>
    </w:p>
    <w:p w14:paraId="5CA2F23F" w14:textId="77777777" w:rsidR="008F0750" w:rsidRPr="00B9018F" w:rsidRDefault="008F0750" w:rsidP="008F0750">
      <w:pPr>
        <w:rPr>
          <w:sz w:val="24"/>
          <w:szCs w:val="24"/>
        </w:rPr>
      </w:pPr>
    </w:p>
    <w:p w14:paraId="72343998" w14:textId="1B6E02DF" w:rsidR="008F0750" w:rsidRPr="00B9018F" w:rsidRDefault="002570FB" w:rsidP="008F0750">
      <w:pPr>
        <w:jc w:val="both"/>
        <w:rPr>
          <w:sz w:val="24"/>
          <w:szCs w:val="24"/>
        </w:rPr>
      </w:pPr>
      <w:r w:rsidRPr="00B9018F">
        <w:rPr>
          <w:sz w:val="24"/>
          <w:szCs w:val="24"/>
        </w:rPr>
        <w:t>By comparison, a</w:t>
      </w:r>
      <w:r w:rsidR="008F0750" w:rsidRPr="00B9018F">
        <w:rPr>
          <w:sz w:val="24"/>
          <w:szCs w:val="24"/>
        </w:rPr>
        <w:t xml:space="preserve"> typical </w:t>
      </w:r>
      <w:r w:rsidR="009442FB" w:rsidRPr="00B9018F">
        <w:rPr>
          <w:sz w:val="24"/>
          <w:szCs w:val="24"/>
        </w:rPr>
        <w:t>“</w:t>
      </w:r>
      <w:r w:rsidR="008F0750" w:rsidRPr="00B9018F">
        <w:rPr>
          <w:sz w:val="24"/>
          <w:szCs w:val="24"/>
        </w:rPr>
        <w:t>total</w:t>
      </w:r>
      <w:r w:rsidR="009442FB" w:rsidRPr="00B9018F">
        <w:rPr>
          <w:sz w:val="24"/>
          <w:szCs w:val="24"/>
        </w:rPr>
        <w:t>”</w:t>
      </w:r>
      <w:r w:rsidR="008F0750" w:rsidRPr="00B9018F">
        <w:rPr>
          <w:sz w:val="24"/>
          <w:szCs w:val="24"/>
        </w:rPr>
        <w:t xml:space="preserve"> pollution exclusion states:</w:t>
      </w:r>
    </w:p>
    <w:p w14:paraId="58926CD6" w14:textId="77777777" w:rsidR="008F0750" w:rsidRPr="00B9018F" w:rsidRDefault="008F0750" w:rsidP="008F0750">
      <w:pPr>
        <w:rPr>
          <w:sz w:val="24"/>
          <w:szCs w:val="24"/>
        </w:rPr>
      </w:pPr>
    </w:p>
    <w:p w14:paraId="046627E3" w14:textId="77777777" w:rsidR="008F0750" w:rsidRPr="00B9018F" w:rsidRDefault="008F0750" w:rsidP="004953E8">
      <w:pPr>
        <w:ind w:left="720" w:right="720"/>
        <w:jc w:val="both"/>
        <w:rPr>
          <w:sz w:val="24"/>
          <w:szCs w:val="24"/>
        </w:rPr>
      </w:pPr>
      <w:r w:rsidRPr="00B9018F">
        <w:rPr>
          <w:sz w:val="24"/>
          <w:szCs w:val="24"/>
        </w:rPr>
        <w:t>Exclusion f. under Paragraph 2., Exclusions of Section I – Coverage A – Bodily Injury and Property Damage Liability is replaced by the following:</w:t>
      </w:r>
    </w:p>
    <w:p w14:paraId="5E14D048" w14:textId="77777777" w:rsidR="008F0750" w:rsidRPr="00B9018F" w:rsidRDefault="008F0750" w:rsidP="004953E8">
      <w:pPr>
        <w:ind w:left="720" w:right="720"/>
        <w:jc w:val="both"/>
        <w:rPr>
          <w:sz w:val="24"/>
          <w:szCs w:val="24"/>
        </w:rPr>
      </w:pPr>
    </w:p>
    <w:p w14:paraId="5F87496C" w14:textId="77777777" w:rsidR="008F0750" w:rsidRPr="00B9018F" w:rsidRDefault="008F0750" w:rsidP="004953E8">
      <w:pPr>
        <w:ind w:left="720" w:right="720"/>
        <w:jc w:val="both"/>
        <w:rPr>
          <w:sz w:val="24"/>
          <w:szCs w:val="24"/>
        </w:rPr>
      </w:pPr>
      <w:r w:rsidRPr="00B9018F">
        <w:rPr>
          <w:sz w:val="24"/>
          <w:szCs w:val="24"/>
        </w:rPr>
        <w:t>This insurance does not apply to:</w:t>
      </w:r>
    </w:p>
    <w:p w14:paraId="6418AA52" w14:textId="77777777" w:rsidR="008F0750" w:rsidRPr="00B9018F" w:rsidRDefault="008F0750" w:rsidP="004953E8">
      <w:pPr>
        <w:ind w:left="720" w:right="720"/>
        <w:jc w:val="both"/>
        <w:rPr>
          <w:sz w:val="24"/>
          <w:szCs w:val="24"/>
        </w:rPr>
      </w:pPr>
    </w:p>
    <w:p w14:paraId="214AEFD2" w14:textId="77777777" w:rsidR="008F0750" w:rsidRPr="00B9018F" w:rsidRDefault="008F0750" w:rsidP="002570FB">
      <w:pPr>
        <w:ind w:left="1080" w:right="720" w:hanging="360"/>
        <w:jc w:val="both"/>
        <w:rPr>
          <w:b/>
          <w:sz w:val="24"/>
          <w:szCs w:val="24"/>
        </w:rPr>
      </w:pPr>
      <w:r w:rsidRPr="00B9018F">
        <w:rPr>
          <w:b/>
          <w:sz w:val="24"/>
          <w:szCs w:val="24"/>
        </w:rPr>
        <w:t>f.</w:t>
      </w:r>
      <w:r w:rsidRPr="00B9018F">
        <w:rPr>
          <w:b/>
          <w:sz w:val="24"/>
          <w:szCs w:val="24"/>
        </w:rPr>
        <w:tab/>
        <w:t>Pollution</w:t>
      </w:r>
    </w:p>
    <w:p w14:paraId="52DF1192" w14:textId="77777777" w:rsidR="008F0750" w:rsidRPr="00B9018F" w:rsidRDefault="008F0750" w:rsidP="004953E8">
      <w:pPr>
        <w:ind w:left="720" w:right="720"/>
        <w:jc w:val="both"/>
        <w:rPr>
          <w:sz w:val="24"/>
          <w:szCs w:val="24"/>
        </w:rPr>
      </w:pPr>
    </w:p>
    <w:p w14:paraId="52B1F66A" w14:textId="59D350A1" w:rsidR="008F0750" w:rsidRPr="00B9018F" w:rsidRDefault="008F0750" w:rsidP="002570FB">
      <w:pPr>
        <w:ind w:left="1440" w:right="720" w:hanging="360"/>
        <w:jc w:val="both"/>
        <w:rPr>
          <w:sz w:val="24"/>
          <w:szCs w:val="24"/>
        </w:rPr>
      </w:pPr>
      <w:r w:rsidRPr="00B9018F">
        <w:rPr>
          <w:b/>
          <w:sz w:val="24"/>
          <w:szCs w:val="24"/>
        </w:rPr>
        <w:t>(1)</w:t>
      </w:r>
      <w:r w:rsidRPr="00B9018F">
        <w:rPr>
          <w:b/>
          <w:sz w:val="24"/>
          <w:szCs w:val="24"/>
        </w:rPr>
        <w:tab/>
      </w:r>
      <w:r w:rsidR="009442FB" w:rsidRPr="00B9018F">
        <w:rPr>
          <w:sz w:val="24"/>
          <w:szCs w:val="24"/>
        </w:rPr>
        <w:t>“</w:t>
      </w:r>
      <w:r w:rsidRPr="00B9018F">
        <w:rPr>
          <w:sz w:val="24"/>
          <w:szCs w:val="24"/>
        </w:rPr>
        <w:t>Bodily injury</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property damage</w:t>
      </w:r>
      <w:r w:rsidR="009442FB" w:rsidRPr="00B9018F">
        <w:rPr>
          <w:sz w:val="24"/>
          <w:szCs w:val="24"/>
        </w:rPr>
        <w:t>”</w:t>
      </w:r>
      <w:r w:rsidRPr="00B9018F">
        <w:rPr>
          <w:sz w:val="24"/>
          <w:szCs w:val="24"/>
        </w:rPr>
        <w:t xml:space="preserve"> which would not have occurred in whole or in part but for the actual, alleged or threatened discharge, dispersal, seepage, migration, release or escape of </w:t>
      </w:r>
      <w:r w:rsidR="009442FB" w:rsidRPr="00B9018F">
        <w:rPr>
          <w:sz w:val="24"/>
          <w:szCs w:val="24"/>
        </w:rPr>
        <w:t>“</w:t>
      </w:r>
      <w:r w:rsidRPr="00B9018F">
        <w:rPr>
          <w:sz w:val="24"/>
          <w:szCs w:val="24"/>
        </w:rPr>
        <w:t>pollutants</w:t>
      </w:r>
      <w:r w:rsidR="009442FB" w:rsidRPr="00B9018F">
        <w:rPr>
          <w:sz w:val="24"/>
          <w:szCs w:val="24"/>
        </w:rPr>
        <w:t>”</w:t>
      </w:r>
      <w:r w:rsidRPr="00B9018F">
        <w:rPr>
          <w:sz w:val="24"/>
          <w:szCs w:val="24"/>
        </w:rPr>
        <w:t xml:space="preserve"> at any time.</w:t>
      </w:r>
    </w:p>
    <w:p w14:paraId="10471B53" w14:textId="77777777" w:rsidR="008F0750" w:rsidRPr="00B9018F" w:rsidRDefault="008F0750" w:rsidP="004953E8">
      <w:pPr>
        <w:ind w:left="1800" w:right="720" w:hanging="360"/>
        <w:jc w:val="both"/>
        <w:rPr>
          <w:sz w:val="24"/>
          <w:szCs w:val="24"/>
        </w:rPr>
      </w:pPr>
    </w:p>
    <w:p w14:paraId="12EFF853" w14:textId="77777777" w:rsidR="008F0750" w:rsidRPr="00B9018F" w:rsidRDefault="008F0750" w:rsidP="002570FB">
      <w:pPr>
        <w:ind w:left="1440" w:right="720" w:hanging="360"/>
        <w:jc w:val="both"/>
        <w:rPr>
          <w:sz w:val="24"/>
          <w:szCs w:val="24"/>
        </w:rPr>
      </w:pPr>
      <w:r w:rsidRPr="00B9018F">
        <w:rPr>
          <w:b/>
          <w:sz w:val="24"/>
          <w:szCs w:val="24"/>
        </w:rPr>
        <w:t>(2)</w:t>
      </w:r>
      <w:r w:rsidRPr="00B9018F">
        <w:rPr>
          <w:b/>
          <w:sz w:val="24"/>
          <w:szCs w:val="24"/>
        </w:rPr>
        <w:tab/>
      </w:r>
      <w:r w:rsidRPr="00B9018F">
        <w:rPr>
          <w:sz w:val="24"/>
          <w:szCs w:val="24"/>
        </w:rPr>
        <w:t>Any loss, cost or expense arising out of any:</w:t>
      </w:r>
    </w:p>
    <w:p w14:paraId="1B165255" w14:textId="77777777" w:rsidR="008F0750" w:rsidRPr="00B9018F" w:rsidRDefault="008F0750" w:rsidP="004953E8">
      <w:pPr>
        <w:ind w:left="720" w:right="720" w:hanging="720"/>
        <w:jc w:val="both"/>
        <w:rPr>
          <w:sz w:val="24"/>
          <w:szCs w:val="24"/>
        </w:rPr>
      </w:pPr>
    </w:p>
    <w:p w14:paraId="426159F9" w14:textId="33478CCA" w:rsidR="008F0750" w:rsidRPr="00B9018F" w:rsidRDefault="008F0750" w:rsidP="002570FB">
      <w:pPr>
        <w:ind w:left="1800" w:right="720" w:hanging="360"/>
        <w:jc w:val="both"/>
        <w:rPr>
          <w:sz w:val="24"/>
          <w:szCs w:val="24"/>
        </w:rPr>
      </w:pPr>
      <w:r w:rsidRPr="00B9018F">
        <w:rPr>
          <w:b/>
          <w:sz w:val="24"/>
          <w:szCs w:val="24"/>
        </w:rPr>
        <w:t>(a)</w:t>
      </w:r>
      <w:r w:rsidRPr="00B9018F">
        <w:rPr>
          <w:sz w:val="24"/>
          <w:szCs w:val="24"/>
        </w:rPr>
        <w:tab/>
        <w:t xml:space="preserve">Request, demand, order or statutory or regulatory requirement that any insured or others test for, monitor, clean up, remove, contain, treat, detoxify or neutralize, or in any way respond to, or assess the effects of </w:t>
      </w:r>
      <w:r w:rsidR="009442FB" w:rsidRPr="00B9018F">
        <w:rPr>
          <w:sz w:val="24"/>
          <w:szCs w:val="24"/>
        </w:rPr>
        <w:t>“</w:t>
      </w:r>
      <w:r w:rsidRPr="00B9018F">
        <w:rPr>
          <w:sz w:val="24"/>
          <w:szCs w:val="24"/>
        </w:rPr>
        <w:t>pollutants;</w:t>
      </w:r>
      <w:r w:rsidR="009442FB" w:rsidRPr="00B9018F">
        <w:rPr>
          <w:sz w:val="24"/>
          <w:szCs w:val="24"/>
        </w:rPr>
        <w:t>”</w:t>
      </w:r>
      <w:r w:rsidRPr="00B9018F">
        <w:rPr>
          <w:sz w:val="24"/>
          <w:szCs w:val="24"/>
        </w:rPr>
        <w:t xml:space="preserve"> or</w:t>
      </w:r>
    </w:p>
    <w:p w14:paraId="2BC59028" w14:textId="77777777" w:rsidR="008F0750" w:rsidRPr="00B9018F" w:rsidRDefault="008F0750" w:rsidP="004953E8">
      <w:pPr>
        <w:ind w:left="720" w:right="720" w:hanging="720"/>
        <w:jc w:val="both"/>
        <w:rPr>
          <w:sz w:val="24"/>
          <w:szCs w:val="24"/>
        </w:rPr>
      </w:pPr>
    </w:p>
    <w:p w14:paraId="55381B2F" w14:textId="0957CA80" w:rsidR="008F0750" w:rsidRPr="00B9018F" w:rsidRDefault="008F0750" w:rsidP="002570FB">
      <w:pPr>
        <w:ind w:left="1800" w:right="720" w:hanging="360"/>
        <w:jc w:val="both"/>
        <w:rPr>
          <w:sz w:val="24"/>
          <w:szCs w:val="24"/>
        </w:rPr>
      </w:pPr>
      <w:r w:rsidRPr="00B9018F">
        <w:rPr>
          <w:b/>
          <w:sz w:val="24"/>
          <w:szCs w:val="24"/>
        </w:rPr>
        <w:t>(b)</w:t>
      </w:r>
      <w:r w:rsidRPr="00B9018F">
        <w:rPr>
          <w:b/>
          <w:sz w:val="24"/>
          <w:szCs w:val="24"/>
        </w:rPr>
        <w:tab/>
      </w:r>
      <w:r w:rsidRPr="00B9018F">
        <w:rPr>
          <w:sz w:val="24"/>
          <w:szCs w:val="24"/>
        </w:rPr>
        <w:t xml:space="preserve">Claim or suit by or on behalf of a governmental authority for damages because of testing for, monitoring, cleaning up, removing, containing, treating, detoxifying or neutralizing, or in any way responding to, or assessing the effects of, </w:t>
      </w:r>
      <w:r w:rsidR="009442FB" w:rsidRPr="00B9018F">
        <w:rPr>
          <w:sz w:val="24"/>
          <w:szCs w:val="24"/>
        </w:rPr>
        <w:t>“</w:t>
      </w:r>
      <w:r w:rsidRPr="00B9018F">
        <w:rPr>
          <w:sz w:val="24"/>
          <w:szCs w:val="24"/>
        </w:rPr>
        <w:t>pollutants.</w:t>
      </w:r>
      <w:r w:rsidR="009442FB" w:rsidRPr="00B9018F">
        <w:rPr>
          <w:sz w:val="24"/>
          <w:szCs w:val="24"/>
        </w:rPr>
        <w:t>”</w:t>
      </w:r>
    </w:p>
    <w:p w14:paraId="6477ACF1" w14:textId="77777777" w:rsidR="008F0750" w:rsidRPr="00B9018F" w:rsidRDefault="008F0750" w:rsidP="008F0750">
      <w:pPr>
        <w:ind w:left="3600" w:right="720" w:hanging="720"/>
        <w:jc w:val="both"/>
        <w:rPr>
          <w:sz w:val="24"/>
          <w:szCs w:val="24"/>
        </w:rPr>
      </w:pPr>
    </w:p>
    <w:p w14:paraId="60376C50" w14:textId="0459B4CF" w:rsidR="008F0750" w:rsidRPr="00B9018F" w:rsidRDefault="008F0750" w:rsidP="008F0750">
      <w:pPr>
        <w:jc w:val="both"/>
        <w:rPr>
          <w:color w:val="000000"/>
          <w:sz w:val="24"/>
          <w:szCs w:val="24"/>
        </w:rPr>
      </w:pPr>
      <w:r w:rsidRPr="00B9018F">
        <w:rPr>
          <w:sz w:val="24"/>
          <w:szCs w:val="24"/>
        </w:rPr>
        <w:tab/>
      </w:r>
      <w:r w:rsidR="007421D6" w:rsidRPr="00B9018F">
        <w:rPr>
          <w:sz w:val="24"/>
          <w:szCs w:val="24"/>
        </w:rPr>
        <w:t>Texas law embodies the majority rule</w:t>
      </w:r>
      <w:r w:rsidR="00255926">
        <w:rPr>
          <w:sz w:val="24"/>
          <w:szCs w:val="24"/>
        </w:rPr>
        <w:t xml:space="preserve"> regarding the application of pollution exclusions</w:t>
      </w:r>
      <w:r w:rsidR="007421D6" w:rsidRPr="00B9018F">
        <w:rPr>
          <w:sz w:val="24"/>
          <w:szCs w:val="24"/>
        </w:rPr>
        <w:t xml:space="preserve">. </w:t>
      </w:r>
      <w:r w:rsidRPr="00B9018F">
        <w:rPr>
          <w:sz w:val="24"/>
          <w:szCs w:val="24"/>
        </w:rPr>
        <w:t xml:space="preserve">The Texas Supreme Court has held that </w:t>
      </w:r>
      <w:r w:rsidR="009442FB" w:rsidRPr="00B9018F">
        <w:rPr>
          <w:sz w:val="24"/>
          <w:szCs w:val="24"/>
        </w:rPr>
        <w:t>“</w:t>
      </w:r>
      <w:r w:rsidRPr="00B9018F">
        <w:rPr>
          <w:sz w:val="24"/>
          <w:szCs w:val="24"/>
        </w:rPr>
        <w:t>total</w:t>
      </w:r>
      <w:r w:rsidR="009442FB" w:rsidRPr="00B9018F">
        <w:rPr>
          <w:sz w:val="24"/>
          <w:szCs w:val="24"/>
        </w:rPr>
        <w:t>”</w:t>
      </w:r>
      <w:r w:rsidRPr="00B9018F">
        <w:rPr>
          <w:sz w:val="24"/>
          <w:szCs w:val="24"/>
        </w:rPr>
        <w:t xml:space="preserve"> or </w:t>
      </w:r>
      <w:r w:rsidR="009442FB" w:rsidRPr="00B9018F">
        <w:rPr>
          <w:sz w:val="24"/>
          <w:szCs w:val="24"/>
        </w:rPr>
        <w:t>“</w:t>
      </w:r>
      <w:r w:rsidRPr="00B9018F">
        <w:rPr>
          <w:sz w:val="24"/>
          <w:szCs w:val="24"/>
        </w:rPr>
        <w:t>absolute</w:t>
      </w:r>
      <w:r w:rsidR="009442FB" w:rsidRPr="00B9018F">
        <w:rPr>
          <w:sz w:val="24"/>
          <w:szCs w:val="24"/>
        </w:rPr>
        <w:t>”</w:t>
      </w:r>
      <w:r w:rsidRPr="00B9018F">
        <w:rPr>
          <w:sz w:val="24"/>
          <w:szCs w:val="24"/>
        </w:rPr>
        <w:t xml:space="preserve"> pollution exclusions are clear and unambiguous.</w:t>
      </w:r>
      <w:r w:rsidR="00DD3A38" w:rsidRPr="00B9018F">
        <w:rPr>
          <w:rStyle w:val="FootnoteReference"/>
          <w:sz w:val="24"/>
          <w:szCs w:val="24"/>
        </w:rPr>
        <w:footnoteReference w:id="81"/>
      </w:r>
      <w:r w:rsidRPr="00B9018F">
        <w:rPr>
          <w:sz w:val="24"/>
          <w:szCs w:val="24"/>
        </w:rPr>
        <w:t xml:space="preserve"> Texas courts have held that similar </w:t>
      </w:r>
      <w:r w:rsidR="009442FB" w:rsidRPr="00B9018F">
        <w:rPr>
          <w:sz w:val="24"/>
          <w:szCs w:val="24"/>
        </w:rPr>
        <w:t>“</w:t>
      </w:r>
      <w:r w:rsidRPr="00B9018F">
        <w:rPr>
          <w:sz w:val="24"/>
          <w:szCs w:val="24"/>
        </w:rPr>
        <w:t>absolute</w:t>
      </w:r>
      <w:r w:rsidR="009442FB" w:rsidRPr="00B9018F">
        <w:rPr>
          <w:sz w:val="24"/>
          <w:szCs w:val="24"/>
        </w:rPr>
        <w:t>”</w:t>
      </w:r>
      <w:r w:rsidRPr="00B9018F">
        <w:rPr>
          <w:sz w:val="24"/>
          <w:szCs w:val="24"/>
        </w:rPr>
        <w:t xml:space="preserve"> pollution exclusions bar coverage for all injuries caused by exposure to pollutants that have been dispersed, discharged, or released in some fashion th</w:t>
      </w:r>
      <w:r w:rsidR="00A458DA" w:rsidRPr="00B9018F">
        <w:rPr>
          <w:sz w:val="24"/>
          <w:szCs w:val="24"/>
        </w:rPr>
        <w:t>at causes exposure.</w:t>
      </w:r>
      <w:r w:rsidR="00A458DA" w:rsidRPr="00B9018F">
        <w:rPr>
          <w:rStyle w:val="FootnoteReference"/>
          <w:sz w:val="24"/>
          <w:szCs w:val="24"/>
        </w:rPr>
        <w:footnoteReference w:id="82"/>
      </w:r>
      <w:r w:rsidR="00255926">
        <w:rPr>
          <w:sz w:val="24"/>
          <w:szCs w:val="24"/>
        </w:rPr>
        <w:t xml:space="preserve"> For example, a</w:t>
      </w:r>
      <w:r w:rsidRPr="00B9018F">
        <w:rPr>
          <w:color w:val="000000"/>
          <w:sz w:val="24"/>
          <w:szCs w:val="24"/>
        </w:rPr>
        <w:t xml:space="preserve"> federal court applying Texas law held that coverage for residents</w:t>
      </w:r>
      <w:r w:rsidR="009442FB" w:rsidRPr="00B9018F">
        <w:rPr>
          <w:color w:val="000000"/>
          <w:sz w:val="24"/>
          <w:szCs w:val="24"/>
        </w:rPr>
        <w:t>’</w:t>
      </w:r>
      <w:r w:rsidRPr="00B9018F">
        <w:rPr>
          <w:color w:val="000000"/>
          <w:sz w:val="24"/>
          <w:szCs w:val="24"/>
        </w:rPr>
        <w:t xml:space="preserve"> alleged injury from exposure to well water contaminated with toxic and hazardous substances, including benzene, was barred by </w:t>
      </w:r>
      <w:r w:rsidR="00255926">
        <w:rPr>
          <w:color w:val="000000"/>
          <w:sz w:val="24"/>
          <w:szCs w:val="24"/>
        </w:rPr>
        <w:t xml:space="preserve">the </w:t>
      </w:r>
      <w:r w:rsidRPr="00B9018F">
        <w:rPr>
          <w:color w:val="000000"/>
          <w:sz w:val="24"/>
          <w:szCs w:val="24"/>
        </w:rPr>
        <w:t xml:space="preserve">absolute pollution exclusion </w:t>
      </w:r>
      <w:r w:rsidR="00255926">
        <w:rPr>
          <w:color w:val="000000"/>
          <w:sz w:val="24"/>
          <w:szCs w:val="24"/>
        </w:rPr>
        <w:t>in the applicable CGL policy.</w:t>
      </w:r>
      <w:r w:rsidR="00A458DA" w:rsidRPr="00B9018F">
        <w:rPr>
          <w:rStyle w:val="FootnoteReference"/>
          <w:color w:val="000000"/>
          <w:sz w:val="24"/>
          <w:szCs w:val="24"/>
        </w:rPr>
        <w:footnoteReference w:id="83"/>
      </w:r>
      <w:r w:rsidRPr="00B9018F">
        <w:rPr>
          <w:color w:val="000000"/>
          <w:sz w:val="24"/>
          <w:szCs w:val="24"/>
        </w:rPr>
        <w:t xml:space="preserve"> The court upheld the exclusion as a bar to coverage even though the underlying suits against </w:t>
      </w:r>
      <w:r w:rsidR="00255926">
        <w:rPr>
          <w:color w:val="000000"/>
          <w:sz w:val="24"/>
          <w:szCs w:val="24"/>
        </w:rPr>
        <w:t xml:space="preserve">the </w:t>
      </w:r>
      <w:r w:rsidRPr="00B9018F">
        <w:rPr>
          <w:color w:val="000000"/>
          <w:sz w:val="24"/>
          <w:szCs w:val="24"/>
        </w:rPr>
        <w:t>company alleged various theories of liability, including negligence</w:t>
      </w:r>
      <w:r w:rsidR="00A458DA" w:rsidRPr="00B9018F">
        <w:rPr>
          <w:color w:val="000000"/>
          <w:sz w:val="24"/>
          <w:szCs w:val="24"/>
        </w:rPr>
        <w:t>.</w:t>
      </w:r>
      <w:r w:rsidR="00A458DA" w:rsidRPr="00B9018F">
        <w:rPr>
          <w:rStyle w:val="FootnoteReference"/>
          <w:color w:val="000000"/>
          <w:sz w:val="24"/>
          <w:szCs w:val="24"/>
        </w:rPr>
        <w:footnoteReference w:id="84"/>
      </w:r>
      <w:r w:rsidR="00A458DA" w:rsidRPr="00B9018F">
        <w:rPr>
          <w:color w:val="000000"/>
          <w:sz w:val="24"/>
          <w:szCs w:val="24"/>
        </w:rPr>
        <w:t xml:space="preserve"> </w:t>
      </w:r>
      <w:r w:rsidRPr="00B9018F">
        <w:rPr>
          <w:color w:val="000000"/>
          <w:sz w:val="24"/>
          <w:szCs w:val="24"/>
        </w:rPr>
        <w:t>The court found that the residents</w:t>
      </w:r>
      <w:r w:rsidR="009442FB" w:rsidRPr="00B9018F">
        <w:rPr>
          <w:color w:val="000000"/>
          <w:sz w:val="24"/>
          <w:szCs w:val="24"/>
        </w:rPr>
        <w:t>’</w:t>
      </w:r>
      <w:r w:rsidRPr="00B9018F">
        <w:rPr>
          <w:color w:val="000000"/>
          <w:sz w:val="24"/>
          <w:szCs w:val="24"/>
        </w:rPr>
        <w:t xml:space="preserve"> claims fell within the </w:t>
      </w:r>
      <w:r w:rsidR="009442FB" w:rsidRPr="00B9018F">
        <w:rPr>
          <w:color w:val="000000"/>
          <w:sz w:val="24"/>
          <w:szCs w:val="24"/>
        </w:rPr>
        <w:t>“</w:t>
      </w:r>
      <w:r w:rsidRPr="00B9018F">
        <w:rPr>
          <w:color w:val="000000"/>
          <w:sz w:val="24"/>
          <w:szCs w:val="24"/>
        </w:rPr>
        <w:t>absolute</w:t>
      </w:r>
      <w:r w:rsidR="009442FB" w:rsidRPr="00B9018F">
        <w:rPr>
          <w:color w:val="000000"/>
          <w:sz w:val="24"/>
          <w:szCs w:val="24"/>
        </w:rPr>
        <w:t>”</w:t>
      </w:r>
      <w:r w:rsidRPr="00B9018F">
        <w:rPr>
          <w:color w:val="000000"/>
          <w:sz w:val="24"/>
          <w:szCs w:val="24"/>
        </w:rPr>
        <w:t xml:space="preserve"> pollution exclusion because these claims arose out of discharge of pollutants that escaped from </w:t>
      </w:r>
      <w:r w:rsidR="00255926">
        <w:rPr>
          <w:color w:val="000000"/>
          <w:sz w:val="24"/>
          <w:szCs w:val="24"/>
        </w:rPr>
        <w:t xml:space="preserve">a </w:t>
      </w:r>
      <w:r w:rsidRPr="00B9018F">
        <w:rPr>
          <w:color w:val="000000"/>
          <w:sz w:val="24"/>
          <w:szCs w:val="24"/>
        </w:rPr>
        <w:t xml:space="preserve">well operated and tested by </w:t>
      </w:r>
      <w:r w:rsidR="00255926">
        <w:rPr>
          <w:color w:val="000000"/>
          <w:sz w:val="24"/>
          <w:szCs w:val="24"/>
        </w:rPr>
        <w:t xml:space="preserve">the </w:t>
      </w:r>
      <w:r w:rsidRPr="00B9018F">
        <w:rPr>
          <w:color w:val="000000"/>
          <w:sz w:val="24"/>
          <w:szCs w:val="24"/>
        </w:rPr>
        <w:t>company.</w:t>
      </w:r>
      <w:r w:rsidR="00A458DA" w:rsidRPr="00B9018F">
        <w:rPr>
          <w:rStyle w:val="FootnoteReference"/>
          <w:color w:val="000000"/>
          <w:sz w:val="24"/>
          <w:szCs w:val="24"/>
        </w:rPr>
        <w:footnoteReference w:id="85"/>
      </w:r>
      <w:r w:rsidR="009442FB" w:rsidRPr="00B9018F">
        <w:rPr>
          <w:color w:val="000000"/>
          <w:sz w:val="24"/>
          <w:szCs w:val="24"/>
        </w:rPr>
        <w:t xml:space="preserve"> </w:t>
      </w:r>
      <w:r w:rsidR="007421D6" w:rsidRPr="00B9018F">
        <w:rPr>
          <w:color w:val="000000"/>
          <w:sz w:val="24"/>
          <w:szCs w:val="24"/>
        </w:rPr>
        <w:t>Other jurisdictions, by comparison, have found that pollution exclusions apply strictly to environmental pollution.</w:t>
      </w:r>
      <w:r w:rsidR="007421D6" w:rsidRPr="00B9018F">
        <w:rPr>
          <w:rStyle w:val="FootnoteReference"/>
          <w:color w:val="000000"/>
          <w:sz w:val="24"/>
          <w:szCs w:val="24"/>
        </w:rPr>
        <w:footnoteReference w:id="86"/>
      </w:r>
      <w:r w:rsidR="007421D6" w:rsidRPr="00B9018F">
        <w:rPr>
          <w:color w:val="000000"/>
          <w:sz w:val="24"/>
          <w:szCs w:val="24"/>
        </w:rPr>
        <w:t xml:space="preserve"> </w:t>
      </w:r>
      <w:r w:rsidR="00850919" w:rsidRPr="00B9018F">
        <w:rPr>
          <w:color w:val="000000"/>
          <w:sz w:val="24"/>
          <w:szCs w:val="24"/>
        </w:rPr>
        <w:t xml:space="preserve">In either case, pollution exclusions </w:t>
      </w:r>
      <w:r w:rsidR="002279DE" w:rsidRPr="00B9018F">
        <w:rPr>
          <w:color w:val="000000"/>
          <w:sz w:val="24"/>
          <w:szCs w:val="24"/>
        </w:rPr>
        <w:t>may potentially</w:t>
      </w:r>
      <w:r w:rsidR="00850919" w:rsidRPr="00B9018F">
        <w:rPr>
          <w:color w:val="000000"/>
          <w:sz w:val="24"/>
          <w:szCs w:val="24"/>
        </w:rPr>
        <w:t xml:space="preserve"> apply, at least in part, </w:t>
      </w:r>
      <w:r w:rsidR="009F3044" w:rsidRPr="00B9018F">
        <w:rPr>
          <w:color w:val="000000"/>
          <w:sz w:val="24"/>
          <w:szCs w:val="24"/>
        </w:rPr>
        <w:t>to alleged damages arising out of an insured</w:t>
      </w:r>
      <w:r w:rsidR="009442FB" w:rsidRPr="00B9018F">
        <w:rPr>
          <w:color w:val="000000"/>
          <w:sz w:val="24"/>
          <w:szCs w:val="24"/>
        </w:rPr>
        <w:t>’</w:t>
      </w:r>
      <w:r w:rsidR="009F3044" w:rsidRPr="00B9018F">
        <w:rPr>
          <w:color w:val="000000"/>
          <w:sz w:val="24"/>
          <w:szCs w:val="24"/>
        </w:rPr>
        <w:t>s purported contribution to climate change.</w:t>
      </w:r>
      <w:r w:rsidR="009442FB" w:rsidRPr="00B9018F">
        <w:rPr>
          <w:color w:val="000000"/>
          <w:sz w:val="24"/>
          <w:szCs w:val="24"/>
        </w:rPr>
        <w:t xml:space="preserve"> </w:t>
      </w:r>
    </w:p>
    <w:p w14:paraId="369FBA47" w14:textId="77777777" w:rsidR="00010DB6" w:rsidRPr="00B9018F" w:rsidRDefault="00010DB6" w:rsidP="008F0750">
      <w:pPr>
        <w:jc w:val="both"/>
        <w:rPr>
          <w:color w:val="000000"/>
          <w:sz w:val="24"/>
          <w:szCs w:val="24"/>
        </w:rPr>
      </w:pPr>
    </w:p>
    <w:p w14:paraId="28BA0691" w14:textId="2924EA54" w:rsidR="00010DB6" w:rsidRPr="00B9018F" w:rsidRDefault="00255926" w:rsidP="008F0750">
      <w:pPr>
        <w:jc w:val="both"/>
        <w:rPr>
          <w:b/>
          <w:color w:val="000000"/>
          <w:sz w:val="24"/>
          <w:szCs w:val="24"/>
        </w:rPr>
      </w:pPr>
      <w:r>
        <w:rPr>
          <w:b/>
          <w:color w:val="000000"/>
          <w:sz w:val="24"/>
          <w:szCs w:val="24"/>
        </w:rPr>
        <w:tab/>
        <w:t>(b)</w:t>
      </w:r>
      <w:r>
        <w:rPr>
          <w:b/>
          <w:color w:val="000000"/>
          <w:sz w:val="24"/>
          <w:szCs w:val="24"/>
        </w:rPr>
        <w:tab/>
        <w:t>The Expected o</w:t>
      </w:r>
      <w:r w:rsidR="00010DB6" w:rsidRPr="00B9018F">
        <w:rPr>
          <w:b/>
          <w:color w:val="000000"/>
          <w:sz w:val="24"/>
          <w:szCs w:val="24"/>
        </w:rPr>
        <w:t xml:space="preserve">r Intended Exclusion </w:t>
      </w:r>
    </w:p>
    <w:p w14:paraId="649DB7FF" w14:textId="77777777" w:rsidR="00010DB6" w:rsidRPr="00B9018F" w:rsidRDefault="00010DB6" w:rsidP="008F0750">
      <w:pPr>
        <w:jc w:val="both"/>
        <w:rPr>
          <w:color w:val="000000"/>
          <w:sz w:val="24"/>
          <w:szCs w:val="24"/>
        </w:rPr>
      </w:pPr>
    </w:p>
    <w:p w14:paraId="0ED28142" w14:textId="72AE3F4F" w:rsidR="00010DB6" w:rsidRPr="00B9018F" w:rsidRDefault="002570FB" w:rsidP="008F0750">
      <w:pPr>
        <w:jc w:val="both"/>
        <w:rPr>
          <w:color w:val="000000"/>
          <w:sz w:val="24"/>
          <w:szCs w:val="24"/>
        </w:rPr>
      </w:pPr>
      <w:r w:rsidRPr="00B9018F">
        <w:rPr>
          <w:color w:val="000000"/>
          <w:sz w:val="24"/>
          <w:szCs w:val="24"/>
        </w:rPr>
        <w:tab/>
      </w:r>
      <w:r w:rsidR="009F3044" w:rsidRPr="00B9018F">
        <w:rPr>
          <w:color w:val="000000"/>
          <w:sz w:val="24"/>
          <w:szCs w:val="24"/>
        </w:rPr>
        <w:t>As discussed above, many climate change claims will involve damages purportedly caused by an insured</w:t>
      </w:r>
      <w:r w:rsidR="009442FB" w:rsidRPr="00B9018F">
        <w:rPr>
          <w:color w:val="000000"/>
          <w:sz w:val="24"/>
          <w:szCs w:val="24"/>
        </w:rPr>
        <w:t>’</w:t>
      </w:r>
      <w:r w:rsidR="009F3044" w:rsidRPr="00B9018F">
        <w:rPr>
          <w:color w:val="000000"/>
          <w:sz w:val="24"/>
          <w:szCs w:val="24"/>
        </w:rPr>
        <w:t>s intentional acts carried out in the regular course of the insured</w:t>
      </w:r>
      <w:r w:rsidR="009442FB" w:rsidRPr="00B9018F">
        <w:rPr>
          <w:color w:val="000000"/>
          <w:sz w:val="24"/>
          <w:szCs w:val="24"/>
        </w:rPr>
        <w:t>’</w:t>
      </w:r>
      <w:r w:rsidR="009F3044" w:rsidRPr="00B9018F">
        <w:rPr>
          <w:color w:val="000000"/>
          <w:sz w:val="24"/>
          <w:szCs w:val="24"/>
        </w:rPr>
        <w:t>s business. Many liability policies, including standard CGL policies, include</w:t>
      </w:r>
      <w:r w:rsidR="009442FB" w:rsidRPr="00B9018F">
        <w:rPr>
          <w:color w:val="000000"/>
          <w:sz w:val="24"/>
          <w:szCs w:val="24"/>
        </w:rPr>
        <w:t xml:space="preserve"> </w:t>
      </w:r>
      <w:r w:rsidR="009F3044" w:rsidRPr="00B9018F">
        <w:rPr>
          <w:color w:val="000000"/>
          <w:sz w:val="24"/>
          <w:szCs w:val="24"/>
        </w:rPr>
        <w:t>an exclusion for damage expected or intended from an insured</w:t>
      </w:r>
      <w:r w:rsidR="009442FB" w:rsidRPr="00B9018F">
        <w:rPr>
          <w:color w:val="000000"/>
          <w:sz w:val="24"/>
          <w:szCs w:val="24"/>
        </w:rPr>
        <w:t>’</w:t>
      </w:r>
      <w:r w:rsidR="009F3044" w:rsidRPr="00B9018F">
        <w:rPr>
          <w:color w:val="000000"/>
          <w:sz w:val="24"/>
          <w:szCs w:val="24"/>
        </w:rPr>
        <w:t>s standpoint. For example, the standard Expected or Intended Injury exclusion in CGL policies states:</w:t>
      </w:r>
      <w:r w:rsidR="00370224" w:rsidRPr="00B9018F">
        <w:rPr>
          <w:color w:val="000000"/>
          <w:sz w:val="24"/>
          <w:szCs w:val="24"/>
        </w:rPr>
        <w:t xml:space="preserve"> </w:t>
      </w:r>
    </w:p>
    <w:p w14:paraId="3F0E0200" w14:textId="54673383" w:rsidR="00370224" w:rsidRPr="00B9018F" w:rsidRDefault="002570FB" w:rsidP="008F0750">
      <w:pPr>
        <w:jc w:val="both"/>
        <w:rPr>
          <w:color w:val="000000"/>
          <w:sz w:val="24"/>
          <w:szCs w:val="24"/>
        </w:rPr>
      </w:pPr>
      <w:r w:rsidRPr="00B9018F">
        <w:rPr>
          <w:color w:val="000000"/>
          <w:sz w:val="24"/>
          <w:szCs w:val="24"/>
        </w:rPr>
        <w:tab/>
      </w:r>
    </w:p>
    <w:p w14:paraId="446FBA73" w14:textId="64EDDE71" w:rsidR="009009B3" w:rsidRPr="00B9018F" w:rsidRDefault="009009B3" w:rsidP="008F0750">
      <w:pPr>
        <w:jc w:val="both"/>
        <w:rPr>
          <w:color w:val="000000"/>
          <w:sz w:val="24"/>
          <w:szCs w:val="24"/>
        </w:rPr>
      </w:pPr>
      <w:r w:rsidRPr="00B9018F">
        <w:rPr>
          <w:color w:val="000000"/>
          <w:sz w:val="24"/>
          <w:szCs w:val="24"/>
        </w:rPr>
        <w:tab/>
        <w:t>This insurance does not apply to:</w:t>
      </w:r>
    </w:p>
    <w:p w14:paraId="76FC05CC" w14:textId="77777777" w:rsidR="009009B3" w:rsidRPr="00B9018F" w:rsidRDefault="009009B3" w:rsidP="008F0750">
      <w:pPr>
        <w:jc w:val="both"/>
        <w:rPr>
          <w:color w:val="000000"/>
          <w:sz w:val="24"/>
          <w:szCs w:val="24"/>
        </w:rPr>
      </w:pPr>
    </w:p>
    <w:p w14:paraId="28212620" w14:textId="7524F0D6" w:rsidR="009009B3" w:rsidRPr="00B9018F" w:rsidRDefault="009F3044" w:rsidP="009009B3">
      <w:pPr>
        <w:ind w:left="1080" w:hanging="360"/>
        <w:jc w:val="both"/>
        <w:rPr>
          <w:b/>
          <w:color w:val="000000"/>
          <w:sz w:val="24"/>
          <w:szCs w:val="24"/>
        </w:rPr>
      </w:pPr>
      <w:r w:rsidRPr="00B9018F">
        <w:rPr>
          <w:b/>
          <w:color w:val="000000"/>
          <w:sz w:val="24"/>
          <w:szCs w:val="24"/>
        </w:rPr>
        <w:t>a.</w:t>
      </w:r>
      <w:r w:rsidRPr="00B9018F">
        <w:rPr>
          <w:b/>
          <w:color w:val="000000"/>
          <w:sz w:val="24"/>
          <w:szCs w:val="24"/>
        </w:rPr>
        <w:tab/>
      </w:r>
      <w:r w:rsidR="009009B3" w:rsidRPr="00B9018F">
        <w:rPr>
          <w:b/>
          <w:color w:val="000000"/>
          <w:sz w:val="24"/>
          <w:szCs w:val="24"/>
        </w:rPr>
        <w:t xml:space="preserve">Expected Or Intended Injury </w:t>
      </w:r>
    </w:p>
    <w:p w14:paraId="68FEDD58" w14:textId="77777777" w:rsidR="009009B3" w:rsidRPr="00B9018F" w:rsidRDefault="009009B3" w:rsidP="008F0750">
      <w:pPr>
        <w:jc w:val="both"/>
        <w:rPr>
          <w:color w:val="000000"/>
          <w:sz w:val="24"/>
          <w:szCs w:val="24"/>
        </w:rPr>
      </w:pPr>
    </w:p>
    <w:p w14:paraId="5331FC33" w14:textId="6E6AEB12" w:rsidR="009009B3" w:rsidRPr="00B9018F" w:rsidRDefault="009442FB" w:rsidP="009009B3">
      <w:pPr>
        <w:ind w:left="1080" w:right="720"/>
        <w:jc w:val="both"/>
        <w:rPr>
          <w:color w:val="000000"/>
          <w:sz w:val="24"/>
          <w:szCs w:val="24"/>
        </w:rPr>
      </w:pPr>
      <w:r w:rsidRPr="00B9018F">
        <w:rPr>
          <w:color w:val="000000"/>
          <w:sz w:val="24"/>
          <w:szCs w:val="24"/>
        </w:rPr>
        <w:t>“</w:t>
      </w:r>
      <w:r w:rsidR="009009B3" w:rsidRPr="00B9018F">
        <w:rPr>
          <w:color w:val="000000"/>
          <w:sz w:val="24"/>
          <w:szCs w:val="24"/>
        </w:rPr>
        <w:t>Bodily injury</w:t>
      </w:r>
      <w:r w:rsidRPr="00B9018F">
        <w:rPr>
          <w:color w:val="000000"/>
          <w:sz w:val="24"/>
          <w:szCs w:val="24"/>
        </w:rPr>
        <w:t>”</w:t>
      </w:r>
      <w:r w:rsidR="009009B3" w:rsidRPr="00B9018F">
        <w:rPr>
          <w:color w:val="000000"/>
          <w:sz w:val="24"/>
          <w:szCs w:val="24"/>
        </w:rPr>
        <w:t xml:space="preserve"> or </w:t>
      </w:r>
      <w:r w:rsidRPr="00B9018F">
        <w:rPr>
          <w:color w:val="000000"/>
          <w:sz w:val="24"/>
          <w:szCs w:val="24"/>
        </w:rPr>
        <w:t>“</w:t>
      </w:r>
      <w:r w:rsidR="009009B3" w:rsidRPr="00B9018F">
        <w:rPr>
          <w:color w:val="000000"/>
          <w:sz w:val="24"/>
          <w:szCs w:val="24"/>
        </w:rPr>
        <w:t>property damage</w:t>
      </w:r>
      <w:r w:rsidRPr="00B9018F">
        <w:rPr>
          <w:color w:val="000000"/>
          <w:sz w:val="24"/>
          <w:szCs w:val="24"/>
        </w:rPr>
        <w:t>”</w:t>
      </w:r>
      <w:r w:rsidR="009009B3" w:rsidRPr="00B9018F">
        <w:rPr>
          <w:color w:val="000000"/>
          <w:sz w:val="24"/>
          <w:szCs w:val="24"/>
        </w:rPr>
        <w:t xml:space="preserve"> expected or intended from the standpoint of the insured. This exclusion does not apply to </w:t>
      </w:r>
      <w:r w:rsidRPr="00B9018F">
        <w:rPr>
          <w:color w:val="000000"/>
          <w:sz w:val="24"/>
          <w:szCs w:val="24"/>
        </w:rPr>
        <w:t>“</w:t>
      </w:r>
      <w:r w:rsidR="009009B3" w:rsidRPr="00B9018F">
        <w:rPr>
          <w:color w:val="000000"/>
          <w:sz w:val="24"/>
          <w:szCs w:val="24"/>
        </w:rPr>
        <w:t>bodily injury</w:t>
      </w:r>
      <w:r w:rsidRPr="00B9018F">
        <w:rPr>
          <w:color w:val="000000"/>
          <w:sz w:val="24"/>
          <w:szCs w:val="24"/>
        </w:rPr>
        <w:t>”</w:t>
      </w:r>
      <w:r w:rsidR="009009B3" w:rsidRPr="00B9018F">
        <w:rPr>
          <w:color w:val="000000"/>
          <w:sz w:val="24"/>
          <w:szCs w:val="24"/>
        </w:rPr>
        <w:t xml:space="preserve"> resulting from the use of reasonable force to protect persons or property. </w:t>
      </w:r>
    </w:p>
    <w:p w14:paraId="16FC379A" w14:textId="77777777" w:rsidR="009009B3" w:rsidRPr="00B9018F" w:rsidRDefault="009009B3" w:rsidP="008F0750">
      <w:pPr>
        <w:jc w:val="both"/>
        <w:rPr>
          <w:color w:val="000000"/>
          <w:sz w:val="24"/>
          <w:szCs w:val="24"/>
        </w:rPr>
      </w:pPr>
    </w:p>
    <w:p w14:paraId="0D50A23A" w14:textId="6265895E" w:rsidR="009009B3" w:rsidRPr="00B9018F" w:rsidRDefault="00CD484B" w:rsidP="008F0750">
      <w:pPr>
        <w:jc w:val="both"/>
        <w:rPr>
          <w:color w:val="000000"/>
          <w:sz w:val="24"/>
          <w:szCs w:val="24"/>
        </w:rPr>
      </w:pPr>
      <w:r w:rsidRPr="00B9018F">
        <w:rPr>
          <w:color w:val="000000"/>
          <w:sz w:val="24"/>
          <w:szCs w:val="24"/>
        </w:rPr>
        <w:tab/>
      </w:r>
      <w:r w:rsidR="00A37EF2" w:rsidRPr="00B9018F">
        <w:rPr>
          <w:color w:val="000000"/>
          <w:sz w:val="24"/>
          <w:szCs w:val="24"/>
        </w:rPr>
        <w:t xml:space="preserve">Whether an </w:t>
      </w:r>
      <w:r w:rsidRPr="00B9018F">
        <w:rPr>
          <w:color w:val="000000"/>
          <w:sz w:val="24"/>
          <w:szCs w:val="24"/>
        </w:rPr>
        <w:t xml:space="preserve">Expected </w:t>
      </w:r>
      <w:r w:rsidR="00A37EF2" w:rsidRPr="00B9018F">
        <w:rPr>
          <w:color w:val="000000"/>
          <w:sz w:val="24"/>
          <w:szCs w:val="24"/>
        </w:rPr>
        <w:t>o</w:t>
      </w:r>
      <w:r w:rsidRPr="00B9018F">
        <w:rPr>
          <w:color w:val="000000"/>
          <w:sz w:val="24"/>
          <w:szCs w:val="24"/>
        </w:rPr>
        <w:t xml:space="preserve">r Intended Injury </w:t>
      </w:r>
      <w:r w:rsidR="00A37EF2" w:rsidRPr="00B9018F">
        <w:rPr>
          <w:color w:val="000000"/>
          <w:sz w:val="24"/>
          <w:szCs w:val="24"/>
        </w:rPr>
        <w:t>e</w:t>
      </w:r>
      <w:r w:rsidR="007F21B9" w:rsidRPr="00B9018F">
        <w:rPr>
          <w:color w:val="000000"/>
          <w:sz w:val="24"/>
          <w:szCs w:val="24"/>
        </w:rPr>
        <w:t xml:space="preserve">xclusion </w:t>
      </w:r>
      <w:r w:rsidR="00A37EF2" w:rsidRPr="00B9018F">
        <w:rPr>
          <w:color w:val="000000"/>
          <w:sz w:val="24"/>
          <w:szCs w:val="24"/>
        </w:rPr>
        <w:t>applies to a claimant</w:t>
      </w:r>
      <w:r w:rsidR="009442FB" w:rsidRPr="00B9018F">
        <w:rPr>
          <w:color w:val="000000"/>
          <w:sz w:val="24"/>
          <w:szCs w:val="24"/>
        </w:rPr>
        <w:t>’</w:t>
      </w:r>
      <w:r w:rsidR="00A37EF2" w:rsidRPr="00B9018F">
        <w:rPr>
          <w:color w:val="000000"/>
          <w:sz w:val="24"/>
          <w:szCs w:val="24"/>
        </w:rPr>
        <w:t xml:space="preserve">s alleged damage </w:t>
      </w:r>
      <w:r w:rsidR="007F21B9" w:rsidRPr="00B9018F">
        <w:rPr>
          <w:color w:val="000000"/>
          <w:sz w:val="24"/>
          <w:szCs w:val="24"/>
        </w:rPr>
        <w:t xml:space="preserve">depends upon the jurisdiction. </w:t>
      </w:r>
      <w:r w:rsidR="00A37EF2" w:rsidRPr="00B9018F">
        <w:rPr>
          <w:color w:val="000000"/>
          <w:sz w:val="24"/>
          <w:szCs w:val="24"/>
        </w:rPr>
        <w:t xml:space="preserve">Under the majority rule, as embodied by Texas law, </w:t>
      </w:r>
      <w:r w:rsidRPr="00B9018F">
        <w:rPr>
          <w:color w:val="000000"/>
          <w:sz w:val="24"/>
          <w:szCs w:val="24"/>
        </w:rPr>
        <w:t>i</w:t>
      </w:r>
      <w:r w:rsidR="006A5E2B" w:rsidRPr="00B9018F">
        <w:rPr>
          <w:color w:val="000000"/>
          <w:sz w:val="24"/>
          <w:szCs w:val="24"/>
        </w:rPr>
        <w:t xml:space="preserve">njury is expected or intended by an insured when </w:t>
      </w:r>
      <w:r w:rsidR="009442FB" w:rsidRPr="00B9018F">
        <w:rPr>
          <w:color w:val="000000"/>
          <w:sz w:val="24"/>
          <w:szCs w:val="24"/>
        </w:rPr>
        <w:t>“</w:t>
      </w:r>
      <w:r w:rsidR="006A5E2B" w:rsidRPr="00B9018F">
        <w:rPr>
          <w:color w:val="000000"/>
          <w:sz w:val="24"/>
          <w:szCs w:val="24"/>
        </w:rPr>
        <w:t>circumstances confirm that the resulting damage was the natural and expected result of the insured</w:t>
      </w:r>
      <w:r w:rsidR="009442FB" w:rsidRPr="00B9018F">
        <w:rPr>
          <w:color w:val="000000"/>
          <w:sz w:val="24"/>
          <w:szCs w:val="24"/>
        </w:rPr>
        <w:t>’</w:t>
      </w:r>
      <w:r w:rsidR="006A5E2B" w:rsidRPr="00B9018F">
        <w:rPr>
          <w:color w:val="000000"/>
          <w:sz w:val="24"/>
          <w:szCs w:val="24"/>
        </w:rPr>
        <w:t>s actions, that is, was highly probable.</w:t>
      </w:r>
      <w:r w:rsidR="009442FB" w:rsidRPr="00B9018F">
        <w:rPr>
          <w:color w:val="000000"/>
          <w:sz w:val="24"/>
          <w:szCs w:val="24"/>
        </w:rPr>
        <w:t>”</w:t>
      </w:r>
      <w:r w:rsidR="00C1473C" w:rsidRPr="00B9018F">
        <w:rPr>
          <w:rStyle w:val="FootnoteReference"/>
          <w:color w:val="000000"/>
          <w:sz w:val="24"/>
          <w:szCs w:val="24"/>
        </w:rPr>
        <w:footnoteReference w:id="87"/>
      </w:r>
      <w:r w:rsidR="006A5E2B" w:rsidRPr="00B9018F">
        <w:rPr>
          <w:color w:val="000000"/>
          <w:sz w:val="24"/>
          <w:szCs w:val="24"/>
        </w:rPr>
        <w:t xml:space="preserve"> The exclusion applies when the insured intends injury resulting from its actions, not merely to intentional conduct itself.</w:t>
      </w:r>
      <w:r w:rsidR="00C1473C" w:rsidRPr="00B9018F">
        <w:rPr>
          <w:rStyle w:val="FootnoteReference"/>
          <w:color w:val="000000"/>
          <w:sz w:val="24"/>
          <w:szCs w:val="24"/>
        </w:rPr>
        <w:footnoteReference w:id="88"/>
      </w:r>
      <w:r w:rsidR="006A5E2B" w:rsidRPr="00B9018F">
        <w:rPr>
          <w:color w:val="000000"/>
          <w:sz w:val="24"/>
          <w:szCs w:val="24"/>
        </w:rPr>
        <w:t xml:space="preserve"> It is presumed that an insured intended injury in cases of intentional torts.</w:t>
      </w:r>
      <w:r w:rsidR="00C1473C" w:rsidRPr="00B9018F">
        <w:rPr>
          <w:rStyle w:val="FootnoteReference"/>
          <w:color w:val="000000"/>
          <w:sz w:val="24"/>
          <w:szCs w:val="24"/>
        </w:rPr>
        <w:footnoteReference w:id="89"/>
      </w:r>
      <w:r w:rsidR="006A5E2B" w:rsidRPr="00B9018F">
        <w:rPr>
          <w:color w:val="000000"/>
          <w:sz w:val="24"/>
          <w:szCs w:val="24"/>
        </w:rPr>
        <w:t xml:space="preserve"> However, the exclusion does not apply to damage arising out of the insured</w:t>
      </w:r>
      <w:r w:rsidR="009442FB" w:rsidRPr="00B9018F">
        <w:rPr>
          <w:color w:val="000000"/>
          <w:sz w:val="24"/>
          <w:szCs w:val="24"/>
        </w:rPr>
        <w:t>’</w:t>
      </w:r>
      <w:r w:rsidR="006A5E2B" w:rsidRPr="00B9018F">
        <w:rPr>
          <w:color w:val="000000"/>
          <w:sz w:val="24"/>
          <w:szCs w:val="24"/>
        </w:rPr>
        <w:t>s negligen</w:t>
      </w:r>
      <w:r w:rsidR="000B1B1C" w:rsidRPr="00B9018F">
        <w:rPr>
          <w:color w:val="000000"/>
          <w:sz w:val="24"/>
          <w:szCs w:val="24"/>
        </w:rPr>
        <w:t>t or grossly negligent conduct.</w:t>
      </w:r>
      <w:r w:rsidR="000B1B1C" w:rsidRPr="00B9018F">
        <w:rPr>
          <w:rStyle w:val="FootnoteReference"/>
          <w:color w:val="000000"/>
          <w:sz w:val="24"/>
          <w:szCs w:val="24"/>
        </w:rPr>
        <w:footnoteReference w:id="90"/>
      </w:r>
      <w:r w:rsidR="00A37EF2" w:rsidRPr="00B9018F">
        <w:rPr>
          <w:color w:val="000000"/>
          <w:sz w:val="24"/>
          <w:szCs w:val="24"/>
        </w:rPr>
        <w:t xml:space="preserve"> In these jurisdictions, an Expected or Intended Injury exclusion would not likely apply to alleged damage arising out of climate change because, even if the insured intended its purported contribution to climate change, it is very unlikely that the insured actually intended </w:t>
      </w:r>
      <w:r w:rsidR="00525DB1">
        <w:rPr>
          <w:color w:val="000000"/>
          <w:sz w:val="24"/>
          <w:szCs w:val="24"/>
        </w:rPr>
        <w:t>any</w:t>
      </w:r>
      <w:r w:rsidR="00A37EF2" w:rsidRPr="00B9018F">
        <w:rPr>
          <w:color w:val="000000"/>
          <w:sz w:val="24"/>
          <w:szCs w:val="24"/>
        </w:rPr>
        <w:t xml:space="preserve"> resulting damage</w:t>
      </w:r>
      <w:r w:rsidR="00525DB1">
        <w:rPr>
          <w:color w:val="000000"/>
          <w:sz w:val="24"/>
          <w:szCs w:val="24"/>
        </w:rPr>
        <w:t xml:space="preserve"> to the claimant</w:t>
      </w:r>
      <w:r w:rsidR="00A37EF2" w:rsidRPr="00B9018F">
        <w:rPr>
          <w:color w:val="000000"/>
          <w:sz w:val="24"/>
          <w:szCs w:val="24"/>
        </w:rPr>
        <w:t xml:space="preserve">. As discussed above, however, other jurisdictions evaluate </w:t>
      </w:r>
      <w:r w:rsidR="003D7AAA" w:rsidRPr="00B9018F">
        <w:rPr>
          <w:color w:val="000000"/>
          <w:sz w:val="24"/>
          <w:szCs w:val="24"/>
        </w:rPr>
        <w:t>whether damage is intended by evaluating whether the insured intended the underlying conduct resulting in damages.</w:t>
      </w:r>
      <w:r w:rsidR="003D7AAA" w:rsidRPr="00B9018F">
        <w:rPr>
          <w:rStyle w:val="FootnoteReference"/>
          <w:color w:val="000000"/>
          <w:sz w:val="24"/>
          <w:szCs w:val="24"/>
        </w:rPr>
        <w:footnoteReference w:id="91"/>
      </w:r>
      <w:r w:rsidR="003D7AAA" w:rsidRPr="00B9018F">
        <w:rPr>
          <w:color w:val="000000"/>
          <w:sz w:val="24"/>
          <w:szCs w:val="24"/>
        </w:rPr>
        <w:t xml:space="preserve"> In those jurisdictions, an Expected or Intended Injury exclusion may preclude coverage for damage allegedly caused by climate change even if the insured intended only the </w:t>
      </w:r>
      <w:r w:rsidR="002279DE" w:rsidRPr="00B9018F">
        <w:rPr>
          <w:color w:val="000000"/>
          <w:sz w:val="24"/>
          <w:szCs w:val="24"/>
        </w:rPr>
        <w:t>underlying pollution activity. Because the Expected or Intended Injury exclusion, and other similar exclusions, have been applied in such drastically different ways by different courts, understanding the law of the relevant jurisdiction</w:t>
      </w:r>
      <w:r w:rsidR="00926025" w:rsidRPr="00B9018F">
        <w:rPr>
          <w:color w:val="000000"/>
          <w:sz w:val="24"/>
          <w:szCs w:val="24"/>
        </w:rPr>
        <w:t xml:space="preserve"> as it applies to coverage for allegedly intentional injury is imperative.</w:t>
      </w:r>
      <w:r w:rsidR="009442FB" w:rsidRPr="00B9018F">
        <w:rPr>
          <w:color w:val="000000"/>
          <w:sz w:val="24"/>
          <w:szCs w:val="24"/>
        </w:rPr>
        <w:t xml:space="preserve"> </w:t>
      </w:r>
    </w:p>
    <w:p w14:paraId="03062027" w14:textId="77777777" w:rsidR="0031068A" w:rsidRPr="00B9018F" w:rsidRDefault="0031068A" w:rsidP="008F0750">
      <w:pPr>
        <w:jc w:val="both"/>
        <w:rPr>
          <w:b/>
          <w:i/>
          <w:color w:val="000000"/>
          <w:sz w:val="24"/>
          <w:szCs w:val="24"/>
        </w:rPr>
      </w:pPr>
    </w:p>
    <w:p w14:paraId="1D0C2786" w14:textId="4DD8EA6A" w:rsidR="0031068A" w:rsidRPr="00F131C7" w:rsidRDefault="0031068A" w:rsidP="008F0750">
      <w:pPr>
        <w:jc w:val="both"/>
        <w:rPr>
          <w:b/>
          <w:color w:val="000000"/>
          <w:sz w:val="24"/>
          <w:szCs w:val="24"/>
        </w:rPr>
      </w:pPr>
      <w:r w:rsidRPr="00F131C7">
        <w:rPr>
          <w:b/>
          <w:color w:val="000000"/>
          <w:sz w:val="24"/>
          <w:szCs w:val="24"/>
        </w:rPr>
        <w:tab/>
        <w:t>(c)</w:t>
      </w:r>
      <w:r w:rsidRPr="00F131C7">
        <w:rPr>
          <w:b/>
          <w:color w:val="000000"/>
          <w:sz w:val="24"/>
          <w:szCs w:val="24"/>
        </w:rPr>
        <w:tab/>
        <w:t xml:space="preserve">Known Conditions </w:t>
      </w:r>
    </w:p>
    <w:p w14:paraId="6C8F3B0A" w14:textId="77777777" w:rsidR="0031068A" w:rsidRPr="00B9018F" w:rsidRDefault="0031068A" w:rsidP="008F0750">
      <w:pPr>
        <w:jc w:val="both"/>
        <w:rPr>
          <w:color w:val="000000"/>
          <w:sz w:val="24"/>
          <w:szCs w:val="24"/>
        </w:rPr>
      </w:pPr>
    </w:p>
    <w:p w14:paraId="4535C2A3" w14:textId="083E5FA0" w:rsidR="0031068A" w:rsidRPr="00B9018F" w:rsidRDefault="00ED401C" w:rsidP="008F0750">
      <w:pPr>
        <w:jc w:val="both"/>
        <w:rPr>
          <w:color w:val="000000"/>
          <w:sz w:val="24"/>
          <w:szCs w:val="24"/>
        </w:rPr>
      </w:pPr>
      <w:r w:rsidRPr="00B9018F">
        <w:rPr>
          <w:color w:val="000000"/>
          <w:sz w:val="24"/>
          <w:szCs w:val="24"/>
        </w:rPr>
        <w:tab/>
      </w:r>
      <w:r w:rsidR="003D7AAA" w:rsidRPr="00B9018F">
        <w:rPr>
          <w:color w:val="000000"/>
          <w:sz w:val="24"/>
          <w:szCs w:val="24"/>
        </w:rPr>
        <w:t xml:space="preserve">Many third-party claimants may allege that an insured knew that its actions have caused damage. </w:t>
      </w:r>
      <w:r w:rsidR="007065D9" w:rsidRPr="00B9018F">
        <w:rPr>
          <w:color w:val="000000"/>
          <w:sz w:val="24"/>
          <w:szCs w:val="24"/>
        </w:rPr>
        <w:t>The insuring agreement in a</w:t>
      </w:r>
      <w:r w:rsidR="00255926">
        <w:rPr>
          <w:color w:val="000000"/>
          <w:sz w:val="24"/>
          <w:szCs w:val="24"/>
        </w:rPr>
        <w:t xml:space="preserve"> typical</w:t>
      </w:r>
      <w:r w:rsidR="007065D9" w:rsidRPr="00B9018F">
        <w:rPr>
          <w:color w:val="000000"/>
          <w:sz w:val="24"/>
          <w:szCs w:val="24"/>
        </w:rPr>
        <w:t xml:space="preserve"> CGL policy </w:t>
      </w:r>
      <w:r w:rsidR="003D7AAA" w:rsidRPr="00B9018F">
        <w:rPr>
          <w:color w:val="000000"/>
          <w:sz w:val="24"/>
          <w:szCs w:val="24"/>
        </w:rPr>
        <w:t>bars cove</w:t>
      </w:r>
      <w:r w:rsidR="00C851F7" w:rsidRPr="00B9018F">
        <w:rPr>
          <w:color w:val="000000"/>
          <w:sz w:val="24"/>
          <w:szCs w:val="24"/>
        </w:rPr>
        <w:t>r</w:t>
      </w:r>
      <w:r w:rsidR="003D7AAA" w:rsidRPr="00B9018F">
        <w:rPr>
          <w:color w:val="000000"/>
          <w:sz w:val="24"/>
          <w:szCs w:val="24"/>
        </w:rPr>
        <w:t>age if</w:t>
      </w:r>
      <w:r w:rsidR="00C851F7" w:rsidRPr="00B9018F">
        <w:rPr>
          <w:color w:val="000000"/>
          <w:sz w:val="24"/>
          <w:szCs w:val="24"/>
        </w:rPr>
        <w:t>,</w:t>
      </w:r>
      <w:r w:rsidR="003D7AAA" w:rsidRPr="00B9018F">
        <w:rPr>
          <w:color w:val="000000"/>
          <w:sz w:val="24"/>
          <w:szCs w:val="24"/>
        </w:rPr>
        <w:t xml:space="preserve"> </w:t>
      </w:r>
      <w:r w:rsidR="00C851F7" w:rsidRPr="00B9018F">
        <w:rPr>
          <w:color w:val="000000"/>
          <w:sz w:val="24"/>
          <w:szCs w:val="24"/>
        </w:rPr>
        <w:t xml:space="preserve">before the applicable policy period, </w:t>
      </w:r>
      <w:r w:rsidR="003D7AAA" w:rsidRPr="00B9018F">
        <w:rPr>
          <w:color w:val="000000"/>
          <w:sz w:val="24"/>
          <w:szCs w:val="24"/>
        </w:rPr>
        <w:t xml:space="preserve">an insured knew </w:t>
      </w:r>
      <w:r w:rsidR="007065D9" w:rsidRPr="00B9018F">
        <w:rPr>
          <w:color w:val="000000"/>
          <w:sz w:val="24"/>
          <w:szCs w:val="24"/>
        </w:rPr>
        <w:t xml:space="preserve">that </w:t>
      </w:r>
      <w:r w:rsidR="00C851F7" w:rsidRPr="00B9018F">
        <w:rPr>
          <w:color w:val="000000"/>
          <w:sz w:val="24"/>
          <w:szCs w:val="24"/>
        </w:rPr>
        <w:t xml:space="preserve">any </w:t>
      </w:r>
      <w:r w:rsidR="009442FB" w:rsidRPr="00B9018F">
        <w:rPr>
          <w:color w:val="000000"/>
          <w:sz w:val="24"/>
          <w:szCs w:val="24"/>
        </w:rPr>
        <w:t>“</w:t>
      </w:r>
      <w:r w:rsidR="007065D9" w:rsidRPr="00B9018F">
        <w:rPr>
          <w:color w:val="000000"/>
          <w:sz w:val="24"/>
          <w:szCs w:val="24"/>
        </w:rPr>
        <w:t>bodily injury</w:t>
      </w:r>
      <w:r w:rsidR="009442FB" w:rsidRPr="00B9018F">
        <w:rPr>
          <w:color w:val="000000"/>
          <w:sz w:val="24"/>
          <w:szCs w:val="24"/>
        </w:rPr>
        <w:t>”</w:t>
      </w:r>
      <w:r w:rsidR="007065D9" w:rsidRPr="00B9018F">
        <w:rPr>
          <w:color w:val="000000"/>
          <w:sz w:val="24"/>
          <w:szCs w:val="24"/>
        </w:rPr>
        <w:t xml:space="preserve"> or </w:t>
      </w:r>
      <w:r w:rsidR="009442FB" w:rsidRPr="00B9018F">
        <w:rPr>
          <w:color w:val="000000"/>
          <w:sz w:val="24"/>
          <w:szCs w:val="24"/>
        </w:rPr>
        <w:t>“</w:t>
      </w:r>
      <w:r w:rsidR="007065D9" w:rsidRPr="00B9018F">
        <w:rPr>
          <w:color w:val="000000"/>
          <w:sz w:val="24"/>
          <w:szCs w:val="24"/>
        </w:rPr>
        <w:t>property damage</w:t>
      </w:r>
      <w:r w:rsidR="009442FB" w:rsidRPr="00B9018F">
        <w:rPr>
          <w:color w:val="000000"/>
          <w:sz w:val="24"/>
          <w:szCs w:val="24"/>
        </w:rPr>
        <w:t>”</w:t>
      </w:r>
      <w:r w:rsidR="007065D9" w:rsidRPr="00B9018F">
        <w:rPr>
          <w:color w:val="000000"/>
          <w:sz w:val="24"/>
          <w:szCs w:val="24"/>
        </w:rPr>
        <w:t xml:space="preserve"> had </w:t>
      </w:r>
      <w:r w:rsidR="00C851F7" w:rsidRPr="00B9018F">
        <w:rPr>
          <w:color w:val="000000"/>
          <w:sz w:val="24"/>
          <w:szCs w:val="24"/>
        </w:rPr>
        <w:t xml:space="preserve">already </w:t>
      </w:r>
      <w:r w:rsidR="007065D9" w:rsidRPr="00B9018F">
        <w:rPr>
          <w:color w:val="000000"/>
          <w:sz w:val="24"/>
          <w:szCs w:val="24"/>
        </w:rPr>
        <w:t xml:space="preserve">occurred. Similarly, </w:t>
      </w:r>
      <w:r w:rsidR="0031068A" w:rsidRPr="00B9018F">
        <w:rPr>
          <w:color w:val="000000"/>
          <w:sz w:val="24"/>
          <w:szCs w:val="24"/>
        </w:rPr>
        <w:t xml:space="preserve">EIL policies usually include a </w:t>
      </w:r>
      <w:r w:rsidR="009442FB" w:rsidRPr="00B9018F">
        <w:rPr>
          <w:color w:val="000000"/>
          <w:sz w:val="24"/>
          <w:szCs w:val="24"/>
        </w:rPr>
        <w:t>“</w:t>
      </w:r>
      <w:r w:rsidR="0031068A" w:rsidRPr="00B9018F">
        <w:rPr>
          <w:color w:val="000000"/>
          <w:sz w:val="24"/>
          <w:szCs w:val="24"/>
        </w:rPr>
        <w:t>Known Conditions</w:t>
      </w:r>
      <w:r w:rsidR="009442FB" w:rsidRPr="00B9018F">
        <w:rPr>
          <w:color w:val="000000"/>
          <w:sz w:val="24"/>
          <w:szCs w:val="24"/>
        </w:rPr>
        <w:t>”</w:t>
      </w:r>
      <w:r w:rsidR="0031068A" w:rsidRPr="00B9018F">
        <w:rPr>
          <w:color w:val="000000"/>
          <w:sz w:val="24"/>
          <w:szCs w:val="24"/>
        </w:rPr>
        <w:t xml:space="preserve"> </w:t>
      </w:r>
      <w:r w:rsidR="00C851F7" w:rsidRPr="00B9018F">
        <w:rPr>
          <w:color w:val="000000"/>
          <w:sz w:val="24"/>
          <w:szCs w:val="24"/>
        </w:rPr>
        <w:t>e</w:t>
      </w:r>
      <w:r w:rsidR="0031068A" w:rsidRPr="00B9018F">
        <w:rPr>
          <w:color w:val="000000"/>
          <w:sz w:val="24"/>
          <w:szCs w:val="24"/>
        </w:rPr>
        <w:t>xclusion</w:t>
      </w:r>
      <w:r w:rsidR="00C851F7" w:rsidRPr="00B9018F">
        <w:rPr>
          <w:color w:val="000000"/>
          <w:sz w:val="24"/>
          <w:szCs w:val="24"/>
        </w:rPr>
        <w:t>,</w:t>
      </w:r>
      <w:r w:rsidR="0031068A" w:rsidRPr="00B9018F">
        <w:rPr>
          <w:color w:val="000000"/>
          <w:sz w:val="24"/>
          <w:szCs w:val="24"/>
        </w:rPr>
        <w:t xml:space="preserve"> which provides that the policy does not apply to any </w:t>
      </w:r>
      <w:r w:rsidR="009442FB" w:rsidRPr="00B9018F">
        <w:rPr>
          <w:color w:val="000000"/>
          <w:sz w:val="24"/>
          <w:szCs w:val="24"/>
        </w:rPr>
        <w:t>“</w:t>
      </w:r>
      <w:r w:rsidR="0031068A" w:rsidRPr="00B9018F">
        <w:rPr>
          <w:color w:val="000000"/>
          <w:sz w:val="24"/>
          <w:szCs w:val="24"/>
        </w:rPr>
        <w:t>claim</w:t>
      </w:r>
      <w:r w:rsidR="009442FB" w:rsidRPr="00B9018F">
        <w:rPr>
          <w:color w:val="000000"/>
          <w:sz w:val="24"/>
          <w:szCs w:val="24"/>
        </w:rPr>
        <w:t>”</w:t>
      </w:r>
      <w:r w:rsidR="0031068A" w:rsidRPr="00B9018F">
        <w:rPr>
          <w:color w:val="000000"/>
          <w:sz w:val="24"/>
          <w:szCs w:val="24"/>
        </w:rPr>
        <w:t xml:space="preserve"> or </w:t>
      </w:r>
      <w:r w:rsidR="009442FB" w:rsidRPr="00B9018F">
        <w:rPr>
          <w:color w:val="000000"/>
          <w:sz w:val="24"/>
          <w:szCs w:val="24"/>
        </w:rPr>
        <w:t>“</w:t>
      </w:r>
      <w:r w:rsidR="0031068A" w:rsidRPr="00B9018F">
        <w:rPr>
          <w:color w:val="000000"/>
          <w:sz w:val="24"/>
          <w:szCs w:val="24"/>
        </w:rPr>
        <w:t>loss caused by, arising ou</w:t>
      </w:r>
      <w:r w:rsidR="00C851F7" w:rsidRPr="00B9018F">
        <w:rPr>
          <w:color w:val="000000"/>
          <w:sz w:val="24"/>
          <w:szCs w:val="24"/>
        </w:rPr>
        <w:t>t of, or in any way related to pollution conditions,</w:t>
      </w:r>
      <w:r w:rsidR="009442FB" w:rsidRPr="00B9018F">
        <w:rPr>
          <w:color w:val="000000"/>
          <w:sz w:val="24"/>
          <w:szCs w:val="24"/>
        </w:rPr>
        <w:t>”</w:t>
      </w:r>
      <w:r w:rsidR="00C851F7" w:rsidRPr="00B9018F">
        <w:rPr>
          <w:color w:val="000000"/>
          <w:sz w:val="24"/>
          <w:szCs w:val="24"/>
        </w:rPr>
        <w:t xml:space="preserve"> </w:t>
      </w:r>
      <w:r w:rsidR="0031068A" w:rsidRPr="00B9018F">
        <w:rPr>
          <w:color w:val="000000"/>
          <w:sz w:val="24"/>
          <w:szCs w:val="24"/>
        </w:rPr>
        <w:t>including any subsequent continuation or resumption of or changes</w:t>
      </w:r>
      <w:r w:rsidR="00C851F7" w:rsidRPr="00B9018F">
        <w:rPr>
          <w:color w:val="000000"/>
          <w:sz w:val="24"/>
          <w:szCs w:val="24"/>
        </w:rPr>
        <w:t xml:space="preserve"> in such </w:t>
      </w:r>
      <w:r w:rsidR="009442FB" w:rsidRPr="00B9018F">
        <w:rPr>
          <w:color w:val="000000"/>
          <w:sz w:val="24"/>
          <w:szCs w:val="24"/>
        </w:rPr>
        <w:t>“</w:t>
      </w:r>
      <w:r w:rsidR="00C851F7" w:rsidRPr="00B9018F">
        <w:rPr>
          <w:color w:val="000000"/>
          <w:sz w:val="24"/>
          <w:szCs w:val="24"/>
        </w:rPr>
        <w:t>pollution conditions,</w:t>
      </w:r>
      <w:r w:rsidR="009442FB" w:rsidRPr="00B9018F">
        <w:rPr>
          <w:color w:val="000000"/>
          <w:sz w:val="24"/>
          <w:szCs w:val="24"/>
        </w:rPr>
        <w:t>”</w:t>
      </w:r>
      <w:r w:rsidR="0031068A" w:rsidRPr="00B9018F">
        <w:rPr>
          <w:color w:val="000000"/>
          <w:sz w:val="24"/>
          <w:szCs w:val="24"/>
        </w:rPr>
        <w:t xml:space="preserve"> that exi</w:t>
      </w:r>
      <w:r w:rsidR="00C851F7" w:rsidRPr="00B9018F">
        <w:rPr>
          <w:color w:val="000000"/>
          <w:sz w:val="24"/>
          <w:szCs w:val="24"/>
        </w:rPr>
        <w:t>sted prior to the policy period</w:t>
      </w:r>
      <w:r w:rsidR="0031068A" w:rsidRPr="00B9018F">
        <w:rPr>
          <w:color w:val="000000"/>
          <w:sz w:val="24"/>
          <w:szCs w:val="24"/>
        </w:rPr>
        <w:t xml:space="preserve"> or that were known to any insured at any time before the inception of the policy period. </w:t>
      </w:r>
      <w:r w:rsidR="00C851F7" w:rsidRPr="00B9018F">
        <w:rPr>
          <w:color w:val="000000"/>
          <w:sz w:val="24"/>
          <w:szCs w:val="24"/>
        </w:rPr>
        <w:t xml:space="preserve">In claims where the claimant has alleged that the insured had pre-policy knowledge of damage that continued into the policy period, </w:t>
      </w:r>
      <w:r w:rsidR="003879AB" w:rsidRPr="00B9018F">
        <w:rPr>
          <w:color w:val="000000"/>
          <w:sz w:val="24"/>
          <w:szCs w:val="24"/>
        </w:rPr>
        <w:t xml:space="preserve">an insurer should </w:t>
      </w:r>
      <w:r w:rsidR="00087493" w:rsidRPr="00B9018F">
        <w:rPr>
          <w:color w:val="000000"/>
          <w:sz w:val="24"/>
          <w:szCs w:val="24"/>
        </w:rPr>
        <w:t xml:space="preserve">evaluate whether </w:t>
      </w:r>
      <w:r w:rsidR="00C851F7" w:rsidRPr="00B9018F">
        <w:rPr>
          <w:color w:val="000000"/>
          <w:sz w:val="24"/>
          <w:szCs w:val="24"/>
        </w:rPr>
        <w:t xml:space="preserve">a </w:t>
      </w:r>
      <w:r w:rsidR="00087493" w:rsidRPr="00B9018F">
        <w:rPr>
          <w:color w:val="000000"/>
          <w:sz w:val="24"/>
          <w:szCs w:val="24"/>
        </w:rPr>
        <w:t xml:space="preserve">known conditions provisions in the </w:t>
      </w:r>
      <w:r w:rsidR="00C851F7" w:rsidRPr="00B9018F">
        <w:rPr>
          <w:color w:val="000000"/>
          <w:sz w:val="24"/>
          <w:szCs w:val="24"/>
        </w:rPr>
        <w:t xml:space="preserve">applicable </w:t>
      </w:r>
      <w:r w:rsidR="00087493" w:rsidRPr="00B9018F">
        <w:rPr>
          <w:color w:val="000000"/>
          <w:sz w:val="24"/>
          <w:szCs w:val="24"/>
        </w:rPr>
        <w:t xml:space="preserve">policy precludes coverage. </w:t>
      </w:r>
    </w:p>
    <w:p w14:paraId="74F4F1BB" w14:textId="77777777" w:rsidR="006A5E2B" w:rsidRPr="00B9018F" w:rsidRDefault="006A5E2B" w:rsidP="008F0750">
      <w:pPr>
        <w:jc w:val="both"/>
        <w:rPr>
          <w:color w:val="000000"/>
          <w:sz w:val="24"/>
          <w:szCs w:val="24"/>
        </w:rPr>
      </w:pPr>
    </w:p>
    <w:p w14:paraId="73EA7A8E" w14:textId="3AEE101D" w:rsidR="006A5E2B" w:rsidRPr="00B9018F" w:rsidRDefault="000B1B1C" w:rsidP="008F0750">
      <w:pPr>
        <w:jc w:val="both"/>
        <w:rPr>
          <w:color w:val="000000"/>
          <w:sz w:val="24"/>
          <w:szCs w:val="24"/>
        </w:rPr>
      </w:pPr>
      <w:r w:rsidRPr="00B9018F">
        <w:rPr>
          <w:color w:val="000000"/>
          <w:sz w:val="24"/>
          <w:szCs w:val="24"/>
        </w:rPr>
        <w:tab/>
      </w:r>
      <w:r w:rsidR="00926025" w:rsidRPr="00B9018F">
        <w:rPr>
          <w:color w:val="000000"/>
          <w:sz w:val="24"/>
          <w:szCs w:val="24"/>
        </w:rPr>
        <w:t>In Texas, for example, t</w:t>
      </w:r>
      <w:r w:rsidR="00CD484B" w:rsidRPr="00B9018F">
        <w:rPr>
          <w:color w:val="000000"/>
          <w:sz w:val="24"/>
          <w:szCs w:val="24"/>
        </w:rPr>
        <w:t>he known conditions provision</w:t>
      </w:r>
      <w:r w:rsidR="006A5E2B" w:rsidRPr="00B9018F">
        <w:rPr>
          <w:color w:val="000000"/>
          <w:sz w:val="24"/>
          <w:szCs w:val="24"/>
        </w:rPr>
        <w:t xml:space="preserve"> requires that the insured actually have k</w:t>
      </w:r>
      <w:r w:rsidR="00BE7BA5" w:rsidRPr="00B9018F">
        <w:rPr>
          <w:color w:val="000000"/>
          <w:sz w:val="24"/>
          <w:szCs w:val="24"/>
        </w:rPr>
        <w:t>nowledge of the alleged damage.</w:t>
      </w:r>
      <w:r w:rsidR="00BE7BA5" w:rsidRPr="00B9018F">
        <w:rPr>
          <w:rStyle w:val="FootnoteReference"/>
          <w:color w:val="000000"/>
          <w:sz w:val="24"/>
          <w:szCs w:val="24"/>
        </w:rPr>
        <w:footnoteReference w:id="92"/>
      </w:r>
      <w:r w:rsidR="00BE7BA5" w:rsidRPr="00B9018F">
        <w:rPr>
          <w:color w:val="000000"/>
          <w:sz w:val="24"/>
          <w:szCs w:val="24"/>
        </w:rPr>
        <w:t xml:space="preserve"> </w:t>
      </w:r>
      <w:r w:rsidR="006A5E2B" w:rsidRPr="00B9018F">
        <w:rPr>
          <w:color w:val="000000"/>
          <w:sz w:val="24"/>
          <w:szCs w:val="24"/>
        </w:rPr>
        <w:t xml:space="preserve">This provision also precludes coverage only if (1) the insured with pre-policy knowledge of the damage is an insured under Paragraph 1 of Section II – Who Is An Insured, which includes generally the Named Insured and its downstream members, partners, and managers or (2) if an </w:t>
      </w:r>
      <w:r w:rsidR="009442FB" w:rsidRPr="00B9018F">
        <w:rPr>
          <w:color w:val="000000"/>
          <w:sz w:val="24"/>
          <w:szCs w:val="24"/>
        </w:rPr>
        <w:t>“</w:t>
      </w:r>
      <w:r w:rsidR="006A5E2B" w:rsidRPr="00B9018F">
        <w:rPr>
          <w:color w:val="000000"/>
          <w:sz w:val="24"/>
          <w:szCs w:val="24"/>
        </w:rPr>
        <w:t>employee</w:t>
      </w:r>
      <w:r w:rsidR="009442FB" w:rsidRPr="00B9018F">
        <w:rPr>
          <w:color w:val="000000"/>
          <w:sz w:val="24"/>
          <w:szCs w:val="24"/>
        </w:rPr>
        <w:t>”</w:t>
      </w:r>
      <w:r w:rsidR="006A5E2B" w:rsidRPr="00B9018F">
        <w:rPr>
          <w:color w:val="000000"/>
          <w:sz w:val="24"/>
          <w:szCs w:val="24"/>
        </w:rPr>
        <w:t xml:space="preserve"> authorized to give or receive notice of a claim had pre-policy knowledge of the damage. Texas courts have strictly applied this requirement, </w:t>
      </w:r>
      <w:r w:rsidR="009442FB" w:rsidRPr="00B9018F">
        <w:rPr>
          <w:color w:val="000000"/>
          <w:sz w:val="24"/>
          <w:szCs w:val="24"/>
        </w:rPr>
        <w:t>“</w:t>
      </w:r>
      <w:r w:rsidR="006A5E2B" w:rsidRPr="00B9018F">
        <w:rPr>
          <w:color w:val="000000"/>
          <w:sz w:val="24"/>
          <w:szCs w:val="24"/>
        </w:rPr>
        <w:t>invoking the principle that contracts must be interpreted in a way that gives meaning to every term.</w:t>
      </w:r>
      <w:r w:rsidR="009442FB" w:rsidRPr="00B9018F">
        <w:rPr>
          <w:color w:val="000000"/>
          <w:sz w:val="24"/>
          <w:szCs w:val="24"/>
        </w:rPr>
        <w:t>”</w:t>
      </w:r>
      <w:r w:rsidR="00BE7BA5" w:rsidRPr="00B9018F">
        <w:rPr>
          <w:rStyle w:val="FootnoteReference"/>
          <w:color w:val="000000"/>
          <w:sz w:val="24"/>
          <w:szCs w:val="24"/>
        </w:rPr>
        <w:footnoteReference w:id="93"/>
      </w:r>
      <w:r w:rsidR="006A5E2B" w:rsidRPr="00B9018F">
        <w:rPr>
          <w:color w:val="000000"/>
          <w:sz w:val="24"/>
          <w:szCs w:val="24"/>
        </w:rPr>
        <w:t xml:space="preserve"> In evaluating its duty to defend, </w:t>
      </w:r>
      <w:r w:rsidR="00D8604A">
        <w:rPr>
          <w:color w:val="000000"/>
          <w:sz w:val="24"/>
          <w:szCs w:val="24"/>
        </w:rPr>
        <w:t xml:space="preserve">however, </w:t>
      </w:r>
      <w:r w:rsidR="006A5E2B" w:rsidRPr="00B9018F">
        <w:rPr>
          <w:color w:val="000000"/>
          <w:sz w:val="24"/>
          <w:szCs w:val="24"/>
        </w:rPr>
        <w:t>an insurer may not disclaim coverage if the insured allegedly had knowledge of only some, and not all, of the damage at issue.</w:t>
      </w:r>
      <w:r w:rsidR="00BE7BA5" w:rsidRPr="00B9018F">
        <w:rPr>
          <w:rStyle w:val="FootnoteReference"/>
          <w:color w:val="000000"/>
          <w:sz w:val="24"/>
          <w:szCs w:val="24"/>
        </w:rPr>
        <w:footnoteReference w:id="94"/>
      </w:r>
      <w:r w:rsidR="006A5E2B" w:rsidRPr="00B9018F">
        <w:rPr>
          <w:color w:val="000000"/>
          <w:sz w:val="24"/>
          <w:szCs w:val="24"/>
        </w:rPr>
        <w:t xml:space="preserve"> </w:t>
      </w:r>
    </w:p>
    <w:p w14:paraId="14920D28" w14:textId="77777777" w:rsidR="00220A07" w:rsidRPr="00B9018F" w:rsidRDefault="00220A07" w:rsidP="00176683">
      <w:pPr>
        <w:jc w:val="both"/>
        <w:rPr>
          <w:sz w:val="24"/>
          <w:szCs w:val="24"/>
        </w:rPr>
      </w:pPr>
    </w:p>
    <w:p w14:paraId="088E8ACF" w14:textId="7448418E" w:rsidR="00A9491D" w:rsidRPr="00B9018F" w:rsidRDefault="006B0218" w:rsidP="00220A07">
      <w:pPr>
        <w:jc w:val="center"/>
        <w:rPr>
          <w:b/>
          <w:sz w:val="24"/>
          <w:szCs w:val="24"/>
          <w:u w:val="single"/>
        </w:rPr>
      </w:pPr>
      <w:r>
        <w:rPr>
          <w:b/>
          <w:sz w:val="24"/>
          <w:szCs w:val="24"/>
        </w:rPr>
        <w:t>I</w:t>
      </w:r>
      <w:r w:rsidR="00CB6540" w:rsidRPr="00B9018F">
        <w:rPr>
          <w:b/>
          <w:sz w:val="24"/>
          <w:szCs w:val="24"/>
        </w:rPr>
        <w:t>V.</w:t>
      </w:r>
      <w:r w:rsidR="00CB6540" w:rsidRPr="00B9018F">
        <w:rPr>
          <w:b/>
          <w:sz w:val="24"/>
          <w:szCs w:val="24"/>
        </w:rPr>
        <w:tab/>
      </w:r>
      <w:r w:rsidR="00CB6540" w:rsidRPr="00B9018F">
        <w:rPr>
          <w:b/>
          <w:sz w:val="24"/>
          <w:szCs w:val="24"/>
          <w:u w:val="single"/>
        </w:rPr>
        <w:t>Claims Handling and Risk Management</w:t>
      </w:r>
    </w:p>
    <w:p w14:paraId="5F6FD62D" w14:textId="77777777" w:rsidR="00A9491D" w:rsidRPr="00B9018F" w:rsidRDefault="00A9491D" w:rsidP="00176683">
      <w:pPr>
        <w:jc w:val="both"/>
        <w:rPr>
          <w:b/>
          <w:sz w:val="24"/>
          <w:szCs w:val="24"/>
          <w:u w:val="single"/>
        </w:rPr>
      </w:pPr>
    </w:p>
    <w:p w14:paraId="0EEC615F" w14:textId="7C71CA0B" w:rsidR="00220F48" w:rsidRPr="00B9018F" w:rsidRDefault="00562331" w:rsidP="00176683">
      <w:pPr>
        <w:jc w:val="both"/>
        <w:rPr>
          <w:sz w:val="24"/>
          <w:szCs w:val="24"/>
        </w:rPr>
      </w:pPr>
      <w:r w:rsidRPr="00B9018F">
        <w:rPr>
          <w:b/>
          <w:sz w:val="24"/>
          <w:szCs w:val="24"/>
        </w:rPr>
        <w:tab/>
      </w:r>
      <w:r w:rsidR="006B0218">
        <w:rPr>
          <w:sz w:val="24"/>
          <w:szCs w:val="24"/>
        </w:rPr>
        <w:t xml:space="preserve">A typical climate change claim will likely be factually and legally complex, and it is possible that multiple local, state, and federal agencies may ultimately become involved in any associated litigation. </w:t>
      </w:r>
      <w:r w:rsidR="007A7739" w:rsidRPr="00B9018F">
        <w:rPr>
          <w:sz w:val="24"/>
          <w:szCs w:val="24"/>
        </w:rPr>
        <w:t xml:space="preserve">When handling </w:t>
      </w:r>
      <w:r w:rsidR="006B0218">
        <w:rPr>
          <w:sz w:val="24"/>
          <w:szCs w:val="24"/>
        </w:rPr>
        <w:t xml:space="preserve">these complex </w:t>
      </w:r>
      <w:r w:rsidR="007A7739" w:rsidRPr="00B9018F">
        <w:rPr>
          <w:sz w:val="24"/>
          <w:szCs w:val="24"/>
        </w:rPr>
        <w:t>climate change claim</w:t>
      </w:r>
      <w:r w:rsidR="006B0218">
        <w:rPr>
          <w:sz w:val="24"/>
          <w:szCs w:val="24"/>
        </w:rPr>
        <w:t>s</w:t>
      </w:r>
      <w:r w:rsidR="007A7739" w:rsidRPr="00B9018F">
        <w:rPr>
          <w:sz w:val="24"/>
          <w:szCs w:val="24"/>
        </w:rPr>
        <w:t xml:space="preserve">, there are several strategies </w:t>
      </w:r>
      <w:r w:rsidR="006B0218">
        <w:rPr>
          <w:sz w:val="24"/>
          <w:szCs w:val="24"/>
        </w:rPr>
        <w:t xml:space="preserve">that insurers should keep in mind to ensure that the claims are properly investigated and administered. </w:t>
      </w:r>
    </w:p>
    <w:p w14:paraId="311C0D84" w14:textId="77777777" w:rsidR="00C340DF" w:rsidRPr="00B9018F" w:rsidRDefault="00C340DF" w:rsidP="00176683">
      <w:pPr>
        <w:jc w:val="both"/>
        <w:rPr>
          <w:sz w:val="24"/>
          <w:szCs w:val="24"/>
        </w:rPr>
      </w:pPr>
    </w:p>
    <w:p w14:paraId="1D60256C" w14:textId="442C3F32" w:rsidR="00220F48" w:rsidRPr="00B9018F" w:rsidRDefault="00220A07" w:rsidP="00176683">
      <w:pPr>
        <w:jc w:val="both"/>
        <w:rPr>
          <w:b/>
          <w:sz w:val="24"/>
          <w:szCs w:val="24"/>
        </w:rPr>
      </w:pPr>
      <w:r w:rsidRPr="00B9018F">
        <w:rPr>
          <w:b/>
          <w:sz w:val="24"/>
          <w:szCs w:val="24"/>
        </w:rPr>
        <w:t>(</w:t>
      </w:r>
      <w:r w:rsidR="00C340DF" w:rsidRPr="00B9018F">
        <w:rPr>
          <w:b/>
          <w:sz w:val="24"/>
          <w:szCs w:val="24"/>
        </w:rPr>
        <w:t>1</w:t>
      </w:r>
      <w:r w:rsidRPr="00B9018F">
        <w:rPr>
          <w:b/>
          <w:sz w:val="24"/>
          <w:szCs w:val="24"/>
        </w:rPr>
        <w:t>)</w:t>
      </w:r>
      <w:r w:rsidR="00220F48" w:rsidRPr="00B9018F">
        <w:rPr>
          <w:b/>
          <w:sz w:val="24"/>
          <w:szCs w:val="24"/>
        </w:rPr>
        <w:tab/>
      </w:r>
      <w:r w:rsidR="00F56097" w:rsidRPr="00B9018F">
        <w:rPr>
          <w:b/>
          <w:sz w:val="24"/>
          <w:szCs w:val="24"/>
        </w:rPr>
        <w:t>Establish the Scope of All Available Coverage.</w:t>
      </w:r>
    </w:p>
    <w:p w14:paraId="7CB1D831" w14:textId="77777777" w:rsidR="00220F48" w:rsidRPr="00B9018F" w:rsidRDefault="00220F48" w:rsidP="00176683">
      <w:pPr>
        <w:jc w:val="both"/>
        <w:rPr>
          <w:b/>
          <w:sz w:val="24"/>
          <w:szCs w:val="24"/>
        </w:rPr>
      </w:pPr>
    </w:p>
    <w:p w14:paraId="36443CD7" w14:textId="7D82A71D" w:rsidR="003F1150" w:rsidRPr="00B9018F" w:rsidRDefault="00220F48" w:rsidP="00966D2B">
      <w:pPr>
        <w:jc w:val="both"/>
        <w:rPr>
          <w:sz w:val="24"/>
          <w:szCs w:val="24"/>
        </w:rPr>
      </w:pPr>
      <w:r w:rsidRPr="00B9018F">
        <w:rPr>
          <w:b/>
          <w:sz w:val="24"/>
          <w:szCs w:val="24"/>
        </w:rPr>
        <w:tab/>
      </w:r>
      <w:r w:rsidR="00DE1C16" w:rsidRPr="00B9018F">
        <w:rPr>
          <w:sz w:val="24"/>
          <w:szCs w:val="24"/>
        </w:rPr>
        <w:t xml:space="preserve">The early stages of claims handling </w:t>
      </w:r>
      <w:r w:rsidRPr="00B9018F">
        <w:rPr>
          <w:sz w:val="24"/>
          <w:szCs w:val="24"/>
        </w:rPr>
        <w:t>are in many ways the most important</w:t>
      </w:r>
      <w:r w:rsidR="00966D2B" w:rsidRPr="00B9018F">
        <w:rPr>
          <w:sz w:val="24"/>
          <w:szCs w:val="24"/>
        </w:rPr>
        <w:t>, particularly when an insurer anticipates that there may be</w:t>
      </w:r>
      <w:r w:rsidR="00B03F84" w:rsidRPr="00B9018F">
        <w:rPr>
          <w:sz w:val="24"/>
          <w:szCs w:val="24"/>
        </w:rPr>
        <w:t xml:space="preserve"> a significant coverage issue.</w:t>
      </w:r>
      <w:r w:rsidR="009442FB" w:rsidRPr="00B9018F">
        <w:rPr>
          <w:sz w:val="24"/>
          <w:szCs w:val="24"/>
        </w:rPr>
        <w:t xml:space="preserve"> </w:t>
      </w:r>
      <w:r w:rsidR="00B568F6">
        <w:rPr>
          <w:sz w:val="24"/>
          <w:szCs w:val="24"/>
        </w:rPr>
        <w:t>From the outset, insurers should w</w:t>
      </w:r>
      <w:r w:rsidR="004D6927" w:rsidRPr="00B9018F">
        <w:rPr>
          <w:sz w:val="24"/>
          <w:szCs w:val="24"/>
        </w:rPr>
        <w:t>ork with the</w:t>
      </w:r>
      <w:r w:rsidR="00B568F6">
        <w:rPr>
          <w:sz w:val="24"/>
          <w:szCs w:val="24"/>
        </w:rPr>
        <w:t>ir</w:t>
      </w:r>
      <w:r w:rsidR="004D6927" w:rsidRPr="00B9018F">
        <w:rPr>
          <w:sz w:val="24"/>
          <w:szCs w:val="24"/>
        </w:rPr>
        <w:t xml:space="preserve"> insured</w:t>
      </w:r>
      <w:r w:rsidR="00B568F6">
        <w:rPr>
          <w:sz w:val="24"/>
          <w:szCs w:val="24"/>
        </w:rPr>
        <w:t>s</w:t>
      </w:r>
      <w:r w:rsidR="004D6927" w:rsidRPr="00B9018F">
        <w:rPr>
          <w:sz w:val="24"/>
          <w:szCs w:val="24"/>
        </w:rPr>
        <w:t xml:space="preserve"> to identify any and all coverage</w:t>
      </w:r>
      <w:r w:rsidR="00B568F6">
        <w:rPr>
          <w:sz w:val="24"/>
          <w:szCs w:val="24"/>
        </w:rPr>
        <w:t>s</w:t>
      </w:r>
      <w:r w:rsidR="004D6927" w:rsidRPr="00B9018F">
        <w:rPr>
          <w:sz w:val="24"/>
          <w:szCs w:val="24"/>
        </w:rPr>
        <w:t xml:space="preserve"> that might be available to </w:t>
      </w:r>
      <w:r w:rsidR="00B568F6">
        <w:rPr>
          <w:sz w:val="24"/>
          <w:szCs w:val="24"/>
        </w:rPr>
        <w:t>the insured</w:t>
      </w:r>
      <w:r w:rsidR="004D6927" w:rsidRPr="00B9018F">
        <w:rPr>
          <w:sz w:val="24"/>
          <w:szCs w:val="24"/>
        </w:rPr>
        <w:t xml:space="preserve"> and</w:t>
      </w:r>
      <w:r w:rsidR="00B568F6">
        <w:rPr>
          <w:sz w:val="24"/>
          <w:szCs w:val="24"/>
        </w:rPr>
        <w:t xml:space="preserve"> to</w:t>
      </w:r>
      <w:r w:rsidR="004D6927" w:rsidRPr="00B9018F">
        <w:rPr>
          <w:sz w:val="24"/>
          <w:szCs w:val="24"/>
        </w:rPr>
        <w:t xml:space="preserve"> confirm that </w:t>
      </w:r>
      <w:r w:rsidR="00B568F6">
        <w:rPr>
          <w:sz w:val="24"/>
          <w:szCs w:val="24"/>
        </w:rPr>
        <w:t>any</w:t>
      </w:r>
      <w:r w:rsidR="004D6927" w:rsidRPr="00B9018F">
        <w:rPr>
          <w:sz w:val="24"/>
          <w:szCs w:val="24"/>
        </w:rPr>
        <w:t xml:space="preserve"> other insurers </w:t>
      </w:r>
      <w:r w:rsidR="00B568F6">
        <w:rPr>
          <w:sz w:val="24"/>
          <w:szCs w:val="24"/>
        </w:rPr>
        <w:t>have been</w:t>
      </w:r>
      <w:r w:rsidR="004D6927" w:rsidRPr="00B9018F">
        <w:rPr>
          <w:sz w:val="24"/>
          <w:szCs w:val="24"/>
        </w:rPr>
        <w:t xml:space="preserve"> put on notice</w:t>
      </w:r>
      <w:r w:rsidR="00B568F6">
        <w:rPr>
          <w:sz w:val="24"/>
          <w:szCs w:val="24"/>
        </w:rPr>
        <w:t xml:space="preserve"> of the claim</w:t>
      </w:r>
      <w:r w:rsidR="004D6927" w:rsidRPr="00B9018F">
        <w:rPr>
          <w:sz w:val="24"/>
          <w:szCs w:val="24"/>
        </w:rPr>
        <w:t>. In the climate change context, the most relevant types of coverages will include commercial liability and environmental liability policies, including environmental impairment and cont</w:t>
      </w:r>
      <w:r w:rsidR="00F131C7">
        <w:rPr>
          <w:sz w:val="24"/>
          <w:szCs w:val="24"/>
        </w:rPr>
        <w:t>r</w:t>
      </w:r>
      <w:r w:rsidR="004D6927" w:rsidRPr="00B9018F">
        <w:rPr>
          <w:sz w:val="24"/>
          <w:szCs w:val="24"/>
        </w:rPr>
        <w:t xml:space="preserve">actors pollution </w:t>
      </w:r>
      <w:r w:rsidR="009819DA" w:rsidRPr="00B9018F">
        <w:rPr>
          <w:sz w:val="24"/>
          <w:szCs w:val="24"/>
        </w:rPr>
        <w:t xml:space="preserve">liability policies. </w:t>
      </w:r>
      <w:r w:rsidR="00B568F6">
        <w:rPr>
          <w:sz w:val="24"/>
          <w:szCs w:val="24"/>
        </w:rPr>
        <w:t xml:space="preserve">Insurers should also know that in some jurisdictions, including, for example, Texas, they </w:t>
      </w:r>
      <w:r w:rsidR="009E2AB7" w:rsidRPr="00B9018F">
        <w:rPr>
          <w:sz w:val="24"/>
          <w:szCs w:val="24"/>
        </w:rPr>
        <w:t xml:space="preserve">may not </w:t>
      </w:r>
      <w:r w:rsidR="00B568F6">
        <w:rPr>
          <w:sz w:val="24"/>
          <w:szCs w:val="24"/>
        </w:rPr>
        <w:t>have a right of subrogation or contribution against other insurers with respect to an insurer’s own indemnity payments</w:t>
      </w:r>
      <w:r w:rsidR="009E2AB7" w:rsidRPr="00B9018F">
        <w:rPr>
          <w:sz w:val="24"/>
          <w:szCs w:val="24"/>
        </w:rPr>
        <w:t>.</w:t>
      </w:r>
      <w:r w:rsidR="00926025" w:rsidRPr="00B9018F">
        <w:rPr>
          <w:rStyle w:val="FootnoteReference"/>
          <w:sz w:val="24"/>
          <w:szCs w:val="24"/>
        </w:rPr>
        <w:footnoteReference w:id="95"/>
      </w:r>
      <w:r w:rsidR="009E2AB7" w:rsidRPr="00B9018F">
        <w:rPr>
          <w:sz w:val="24"/>
          <w:szCs w:val="24"/>
        </w:rPr>
        <w:t xml:space="preserve"> The Texas Supreme Court has held that an insurer who fully indemnifie</w:t>
      </w:r>
      <w:r w:rsidR="00B06970">
        <w:rPr>
          <w:sz w:val="24"/>
          <w:szCs w:val="24"/>
        </w:rPr>
        <w:t>s</w:t>
      </w:r>
      <w:r w:rsidR="009E2AB7" w:rsidRPr="00B9018F">
        <w:rPr>
          <w:sz w:val="24"/>
          <w:szCs w:val="24"/>
        </w:rPr>
        <w:t xml:space="preserve"> an insured cannot recover a </w:t>
      </w:r>
      <w:r w:rsidR="009E2AB7" w:rsidRPr="00B06970">
        <w:rPr>
          <w:iCs/>
          <w:sz w:val="24"/>
          <w:szCs w:val="24"/>
        </w:rPr>
        <w:t>pro rata</w:t>
      </w:r>
      <w:r w:rsidR="009E2AB7" w:rsidRPr="00B9018F">
        <w:rPr>
          <w:sz w:val="24"/>
          <w:szCs w:val="24"/>
        </w:rPr>
        <w:t xml:space="preserve"> contribution or seek subrog</w:t>
      </w:r>
      <w:r w:rsidR="00B06970">
        <w:rPr>
          <w:sz w:val="24"/>
          <w:szCs w:val="24"/>
        </w:rPr>
        <w:t>ation from a non-paying insurer</w:t>
      </w:r>
      <w:r w:rsidR="009E2AB7" w:rsidRPr="00B9018F">
        <w:rPr>
          <w:sz w:val="24"/>
          <w:szCs w:val="24"/>
        </w:rPr>
        <w:t xml:space="preserve"> despite </w:t>
      </w:r>
      <w:r w:rsidR="00B06970">
        <w:rPr>
          <w:sz w:val="24"/>
          <w:szCs w:val="24"/>
        </w:rPr>
        <w:t xml:space="preserve">the standard </w:t>
      </w:r>
      <w:r w:rsidR="009442FB" w:rsidRPr="00B9018F">
        <w:rPr>
          <w:sz w:val="24"/>
          <w:szCs w:val="24"/>
        </w:rPr>
        <w:t>“</w:t>
      </w:r>
      <w:r w:rsidR="009E2AB7" w:rsidRPr="00B9018F">
        <w:rPr>
          <w:sz w:val="24"/>
          <w:szCs w:val="24"/>
        </w:rPr>
        <w:t>other insurance</w:t>
      </w:r>
      <w:r w:rsidR="009442FB" w:rsidRPr="00B9018F">
        <w:rPr>
          <w:sz w:val="24"/>
          <w:szCs w:val="24"/>
        </w:rPr>
        <w:t>”</w:t>
      </w:r>
      <w:r w:rsidR="009E2AB7" w:rsidRPr="00B9018F">
        <w:rPr>
          <w:sz w:val="24"/>
          <w:szCs w:val="24"/>
        </w:rPr>
        <w:t xml:space="preserve"> clause</w:t>
      </w:r>
      <w:r w:rsidR="00B06970">
        <w:rPr>
          <w:sz w:val="24"/>
          <w:szCs w:val="24"/>
        </w:rPr>
        <w:t xml:space="preserve"> in CGL policies</w:t>
      </w:r>
      <w:r w:rsidR="009E2AB7" w:rsidRPr="00B9018F">
        <w:rPr>
          <w:sz w:val="24"/>
          <w:szCs w:val="24"/>
        </w:rPr>
        <w:t>.</w:t>
      </w:r>
      <w:r w:rsidR="00926025" w:rsidRPr="00B9018F">
        <w:rPr>
          <w:rStyle w:val="FootnoteReference"/>
          <w:sz w:val="24"/>
          <w:szCs w:val="24"/>
        </w:rPr>
        <w:footnoteReference w:id="96"/>
      </w:r>
      <w:r w:rsidR="00926025" w:rsidRPr="00B9018F">
        <w:rPr>
          <w:sz w:val="24"/>
          <w:szCs w:val="24"/>
        </w:rPr>
        <w:t xml:space="preserve"> </w:t>
      </w:r>
      <w:r w:rsidR="009E2AB7" w:rsidRPr="00B9018F">
        <w:rPr>
          <w:sz w:val="24"/>
          <w:szCs w:val="24"/>
        </w:rPr>
        <w:t>In addition, it is unclear, based on recent case law from the Fifth Circuit and the Austin Court of Appeals whether there is also a right to seek subrogation or contribution from other carriers of any defense costs that an insurer believes it is overpaying due to another carrier</w:t>
      </w:r>
      <w:r w:rsidR="009442FB" w:rsidRPr="00B9018F">
        <w:rPr>
          <w:sz w:val="24"/>
          <w:szCs w:val="24"/>
        </w:rPr>
        <w:t>’</w:t>
      </w:r>
      <w:r w:rsidR="009E2AB7" w:rsidRPr="00B9018F">
        <w:rPr>
          <w:sz w:val="24"/>
          <w:szCs w:val="24"/>
        </w:rPr>
        <w:t>s refusal to participate in the defense</w:t>
      </w:r>
      <w:r w:rsidR="009E2AB7" w:rsidRPr="00B9018F">
        <w:rPr>
          <w:b/>
          <w:bCs/>
          <w:sz w:val="24"/>
          <w:szCs w:val="24"/>
        </w:rPr>
        <w:t>.</w:t>
      </w:r>
      <w:r w:rsidR="00926025" w:rsidRPr="00B9018F">
        <w:rPr>
          <w:rStyle w:val="FootnoteReference"/>
          <w:b/>
          <w:bCs/>
          <w:sz w:val="24"/>
          <w:szCs w:val="24"/>
        </w:rPr>
        <w:footnoteReference w:id="97"/>
      </w:r>
      <w:r w:rsidR="009442FB" w:rsidRPr="00B9018F">
        <w:rPr>
          <w:b/>
          <w:bCs/>
          <w:sz w:val="24"/>
          <w:szCs w:val="24"/>
        </w:rPr>
        <w:t xml:space="preserve"> </w:t>
      </w:r>
    </w:p>
    <w:p w14:paraId="3AC9E5A9" w14:textId="77777777" w:rsidR="00BF09F6" w:rsidRPr="00B9018F" w:rsidRDefault="00BF09F6" w:rsidP="00176683">
      <w:pPr>
        <w:jc w:val="both"/>
        <w:rPr>
          <w:sz w:val="24"/>
          <w:szCs w:val="24"/>
        </w:rPr>
      </w:pPr>
    </w:p>
    <w:p w14:paraId="107A3055" w14:textId="1ED90AA7" w:rsidR="00F56097" w:rsidRPr="00B9018F" w:rsidRDefault="00220A07" w:rsidP="00176683">
      <w:pPr>
        <w:jc w:val="both"/>
        <w:rPr>
          <w:b/>
          <w:sz w:val="24"/>
          <w:szCs w:val="24"/>
        </w:rPr>
      </w:pPr>
      <w:r w:rsidRPr="00B9018F">
        <w:rPr>
          <w:b/>
          <w:sz w:val="24"/>
          <w:szCs w:val="24"/>
        </w:rPr>
        <w:t>(</w:t>
      </w:r>
      <w:r w:rsidR="00B06970">
        <w:rPr>
          <w:b/>
          <w:sz w:val="24"/>
          <w:szCs w:val="24"/>
        </w:rPr>
        <w:t>2</w:t>
      </w:r>
      <w:r w:rsidRPr="00B9018F">
        <w:rPr>
          <w:b/>
          <w:sz w:val="24"/>
          <w:szCs w:val="24"/>
        </w:rPr>
        <w:t>)</w:t>
      </w:r>
      <w:r w:rsidR="00F56097" w:rsidRPr="00B9018F">
        <w:rPr>
          <w:b/>
          <w:sz w:val="24"/>
          <w:szCs w:val="24"/>
        </w:rPr>
        <w:tab/>
        <w:t xml:space="preserve">Identify </w:t>
      </w:r>
      <w:r w:rsidR="001E3389" w:rsidRPr="00B9018F">
        <w:rPr>
          <w:b/>
          <w:sz w:val="24"/>
          <w:szCs w:val="24"/>
        </w:rPr>
        <w:t>Your Jurisdiction</w:t>
      </w:r>
      <w:r w:rsidR="00F56097" w:rsidRPr="00B9018F">
        <w:rPr>
          <w:b/>
          <w:sz w:val="24"/>
          <w:szCs w:val="24"/>
        </w:rPr>
        <w:t xml:space="preserve">. </w:t>
      </w:r>
    </w:p>
    <w:p w14:paraId="3F5F157E" w14:textId="77777777" w:rsidR="00F56097" w:rsidRPr="00B9018F" w:rsidRDefault="00F56097" w:rsidP="00176683">
      <w:pPr>
        <w:jc w:val="both"/>
        <w:rPr>
          <w:b/>
          <w:sz w:val="24"/>
          <w:szCs w:val="24"/>
        </w:rPr>
      </w:pPr>
    </w:p>
    <w:p w14:paraId="3DC8612F" w14:textId="59ED0EF6" w:rsidR="00F56097" w:rsidRPr="00B9018F" w:rsidRDefault="00F56097" w:rsidP="00176683">
      <w:pPr>
        <w:jc w:val="both"/>
        <w:rPr>
          <w:sz w:val="24"/>
          <w:szCs w:val="24"/>
        </w:rPr>
      </w:pPr>
      <w:r w:rsidRPr="00B9018F">
        <w:rPr>
          <w:b/>
          <w:sz w:val="24"/>
          <w:szCs w:val="24"/>
        </w:rPr>
        <w:tab/>
      </w:r>
      <w:r w:rsidRPr="00B9018F">
        <w:rPr>
          <w:sz w:val="24"/>
          <w:szCs w:val="24"/>
        </w:rPr>
        <w:t xml:space="preserve">Insurance coverage law differs </w:t>
      </w:r>
      <w:r w:rsidR="008341EF" w:rsidRPr="00B9018F">
        <w:rPr>
          <w:sz w:val="24"/>
          <w:szCs w:val="24"/>
        </w:rPr>
        <w:t xml:space="preserve">from </w:t>
      </w:r>
      <w:r w:rsidRPr="00B9018F">
        <w:rPr>
          <w:sz w:val="24"/>
          <w:szCs w:val="24"/>
        </w:rPr>
        <w:t xml:space="preserve">jurisdiction to jurisdiction, sometimes dramatically. </w:t>
      </w:r>
      <w:r w:rsidR="00FA5039" w:rsidRPr="00B9018F">
        <w:rPr>
          <w:sz w:val="24"/>
          <w:szCs w:val="24"/>
        </w:rPr>
        <w:t xml:space="preserve">An insurer evaluating coverage under a CGL or EIL policy will certainly encounter a number of policy provisions, standard or otherwise, that have been implicated by the claim. Pollution exclusions and exclusions related to hazardous materials could very well apply to preclude coverage in a climate change claim. </w:t>
      </w:r>
      <w:r w:rsidR="00B06970">
        <w:rPr>
          <w:sz w:val="24"/>
          <w:szCs w:val="24"/>
        </w:rPr>
        <w:t xml:space="preserve">But because different jurisdictions have interpreted and applied many common policy provisions in such different ways, understanding the applicable law of the relevant jurisdiction is essential for an insurer to </w:t>
      </w:r>
      <w:r w:rsidR="00D8604A">
        <w:rPr>
          <w:sz w:val="24"/>
          <w:szCs w:val="24"/>
        </w:rPr>
        <w:t xml:space="preserve">properly </w:t>
      </w:r>
      <w:r w:rsidR="00B06970">
        <w:rPr>
          <w:sz w:val="24"/>
          <w:szCs w:val="24"/>
        </w:rPr>
        <w:t xml:space="preserve">evaluate potential coverage for any given claim. </w:t>
      </w:r>
    </w:p>
    <w:p w14:paraId="703A9D54" w14:textId="77777777" w:rsidR="00745C7B" w:rsidRPr="00B9018F" w:rsidRDefault="00745C7B" w:rsidP="00176683">
      <w:pPr>
        <w:jc w:val="both"/>
        <w:rPr>
          <w:sz w:val="24"/>
          <w:szCs w:val="24"/>
        </w:rPr>
      </w:pPr>
    </w:p>
    <w:p w14:paraId="3FBEA8DF" w14:textId="51608EFE" w:rsidR="001332B0" w:rsidRPr="00B9018F" w:rsidRDefault="00220A07" w:rsidP="00625C70">
      <w:pPr>
        <w:jc w:val="both"/>
        <w:rPr>
          <w:b/>
          <w:sz w:val="24"/>
          <w:szCs w:val="24"/>
        </w:rPr>
      </w:pPr>
      <w:r w:rsidRPr="00B9018F">
        <w:rPr>
          <w:b/>
          <w:sz w:val="24"/>
          <w:szCs w:val="24"/>
        </w:rPr>
        <w:t>(</w:t>
      </w:r>
      <w:r w:rsidR="00E33E8A">
        <w:rPr>
          <w:b/>
          <w:sz w:val="24"/>
          <w:szCs w:val="24"/>
        </w:rPr>
        <w:t>3</w:t>
      </w:r>
      <w:r w:rsidRPr="00B9018F">
        <w:rPr>
          <w:b/>
          <w:sz w:val="24"/>
          <w:szCs w:val="24"/>
        </w:rPr>
        <w:t>)</w:t>
      </w:r>
      <w:r w:rsidR="00625C70" w:rsidRPr="00B9018F">
        <w:rPr>
          <w:b/>
          <w:sz w:val="24"/>
          <w:szCs w:val="24"/>
        </w:rPr>
        <w:tab/>
      </w:r>
      <w:r w:rsidR="001332B0" w:rsidRPr="00B9018F">
        <w:rPr>
          <w:b/>
          <w:sz w:val="24"/>
          <w:szCs w:val="24"/>
        </w:rPr>
        <w:t>Handling Multiple Claims</w:t>
      </w:r>
    </w:p>
    <w:p w14:paraId="5DC4D9C4" w14:textId="77777777" w:rsidR="008122F3" w:rsidRPr="00B9018F" w:rsidRDefault="008122F3" w:rsidP="001B54C2">
      <w:pPr>
        <w:pStyle w:val="BodyTextFirstIndent"/>
        <w:jc w:val="both"/>
        <w:rPr>
          <w:b/>
          <w:i/>
          <w:sz w:val="24"/>
          <w:szCs w:val="24"/>
        </w:rPr>
      </w:pPr>
    </w:p>
    <w:p w14:paraId="10613CE5" w14:textId="6D1DB167" w:rsidR="001332B0" w:rsidRPr="00B9018F" w:rsidRDefault="008122F3" w:rsidP="008122F3">
      <w:pPr>
        <w:jc w:val="both"/>
        <w:rPr>
          <w:sz w:val="24"/>
          <w:szCs w:val="24"/>
        </w:rPr>
      </w:pPr>
      <w:r w:rsidRPr="00B9018F">
        <w:rPr>
          <w:sz w:val="24"/>
          <w:szCs w:val="24"/>
        </w:rPr>
        <w:tab/>
      </w:r>
      <w:r w:rsidR="002235A9" w:rsidRPr="00B9018F">
        <w:rPr>
          <w:sz w:val="24"/>
          <w:szCs w:val="24"/>
        </w:rPr>
        <w:t>Climate change</w:t>
      </w:r>
      <w:r w:rsidR="00E33E8A">
        <w:rPr>
          <w:sz w:val="24"/>
          <w:szCs w:val="24"/>
        </w:rPr>
        <w:t xml:space="preserve"> claims</w:t>
      </w:r>
      <w:r w:rsidR="002235A9" w:rsidRPr="00B9018F">
        <w:rPr>
          <w:sz w:val="24"/>
          <w:szCs w:val="24"/>
        </w:rPr>
        <w:t xml:space="preserve"> may </w:t>
      </w:r>
      <w:r w:rsidR="00B06970">
        <w:rPr>
          <w:sz w:val="24"/>
          <w:szCs w:val="24"/>
        </w:rPr>
        <w:t xml:space="preserve">involve </w:t>
      </w:r>
      <w:r w:rsidR="001332B0" w:rsidRPr="00B9018F">
        <w:rPr>
          <w:sz w:val="24"/>
          <w:szCs w:val="24"/>
        </w:rPr>
        <w:t xml:space="preserve">claims </w:t>
      </w:r>
      <w:r w:rsidR="00E33E8A">
        <w:rPr>
          <w:sz w:val="24"/>
          <w:szCs w:val="24"/>
        </w:rPr>
        <w:t xml:space="preserve">from multiple parties </w:t>
      </w:r>
      <w:r w:rsidR="001332B0" w:rsidRPr="00B9018F">
        <w:rPr>
          <w:sz w:val="24"/>
          <w:szCs w:val="24"/>
        </w:rPr>
        <w:t xml:space="preserve">for damages </w:t>
      </w:r>
      <w:r w:rsidR="00B06970">
        <w:rPr>
          <w:sz w:val="24"/>
          <w:szCs w:val="24"/>
        </w:rPr>
        <w:t xml:space="preserve">that exceed </w:t>
      </w:r>
      <w:r w:rsidR="001332B0" w:rsidRPr="00B9018F">
        <w:rPr>
          <w:sz w:val="24"/>
          <w:szCs w:val="24"/>
        </w:rPr>
        <w:t xml:space="preserve">the </w:t>
      </w:r>
      <w:r w:rsidR="00B06970">
        <w:rPr>
          <w:sz w:val="24"/>
          <w:szCs w:val="24"/>
        </w:rPr>
        <w:t xml:space="preserve">total </w:t>
      </w:r>
      <w:r w:rsidR="001332B0" w:rsidRPr="00B9018F">
        <w:rPr>
          <w:sz w:val="24"/>
          <w:szCs w:val="24"/>
        </w:rPr>
        <w:t>available limits</w:t>
      </w:r>
      <w:r w:rsidR="00B06970">
        <w:rPr>
          <w:sz w:val="24"/>
          <w:szCs w:val="24"/>
        </w:rPr>
        <w:t xml:space="preserve"> of applicable insurance</w:t>
      </w:r>
      <w:r w:rsidR="001332B0" w:rsidRPr="00B9018F">
        <w:rPr>
          <w:sz w:val="24"/>
          <w:szCs w:val="24"/>
        </w:rPr>
        <w:t xml:space="preserve">. </w:t>
      </w:r>
      <w:r w:rsidR="00E33E8A">
        <w:rPr>
          <w:sz w:val="24"/>
          <w:szCs w:val="24"/>
        </w:rPr>
        <w:t xml:space="preserve">Various state and federal remedies exist to ensure that </w:t>
      </w:r>
      <w:r w:rsidR="00222438">
        <w:rPr>
          <w:sz w:val="24"/>
          <w:szCs w:val="24"/>
        </w:rPr>
        <w:t xml:space="preserve">an insurer acting in good faith is not held liable for more than the amount of loss insured. </w:t>
      </w:r>
      <w:r w:rsidR="001332B0" w:rsidRPr="00B9018F">
        <w:rPr>
          <w:sz w:val="24"/>
          <w:szCs w:val="24"/>
        </w:rPr>
        <w:t>In Texas,</w:t>
      </w:r>
      <w:r w:rsidR="00222438">
        <w:rPr>
          <w:sz w:val="24"/>
          <w:szCs w:val="24"/>
        </w:rPr>
        <w:t xml:space="preserve"> for example,</w:t>
      </w:r>
      <w:r w:rsidR="001332B0" w:rsidRPr="00B9018F">
        <w:rPr>
          <w:sz w:val="24"/>
          <w:szCs w:val="24"/>
        </w:rPr>
        <w:t xml:space="preserve"> the </w:t>
      </w:r>
      <w:r w:rsidR="001332B0" w:rsidRPr="00B9018F">
        <w:rPr>
          <w:i/>
          <w:sz w:val="24"/>
          <w:szCs w:val="24"/>
        </w:rPr>
        <w:t>Soriano</w:t>
      </w:r>
      <w:r w:rsidR="001332B0" w:rsidRPr="00B9018F">
        <w:rPr>
          <w:sz w:val="24"/>
          <w:szCs w:val="24"/>
        </w:rPr>
        <w:t xml:space="preserve"> Doctrine protects insurers faced with multiple claims and insufficient insurance proceeds.</w:t>
      </w:r>
      <w:r w:rsidR="001332B0" w:rsidRPr="00B9018F">
        <w:rPr>
          <w:i/>
          <w:sz w:val="24"/>
          <w:szCs w:val="24"/>
        </w:rPr>
        <w:t xml:space="preserve"> Texas Farmers Insurance Company v. Soriano</w:t>
      </w:r>
      <w:r w:rsidR="00B56C06" w:rsidRPr="00B9018F">
        <w:rPr>
          <w:rStyle w:val="FootnoteReference"/>
          <w:sz w:val="24"/>
          <w:szCs w:val="24"/>
        </w:rPr>
        <w:footnoteReference w:id="98"/>
      </w:r>
      <w:r w:rsidR="001332B0" w:rsidRPr="00B9018F">
        <w:rPr>
          <w:sz w:val="24"/>
          <w:szCs w:val="24"/>
        </w:rPr>
        <w:t xml:space="preserve"> sets forth a relatively clear standard for cases involving multiple claimant settlement demands:</w:t>
      </w:r>
    </w:p>
    <w:p w14:paraId="62008944" w14:textId="77777777" w:rsidR="001B54C2" w:rsidRPr="00B9018F" w:rsidRDefault="001B54C2" w:rsidP="001332B0">
      <w:pPr>
        <w:pStyle w:val="BodyTextFirstIndent"/>
        <w:rPr>
          <w:i/>
          <w:sz w:val="24"/>
          <w:szCs w:val="24"/>
        </w:rPr>
      </w:pPr>
    </w:p>
    <w:p w14:paraId="7D69D469" w14:textId="2CF4B828" w:rsidR="001332B0" w:rsidRPr="00B9018F" w:rsidRDefault="001332B0" w:rsidP="001332B0">
      <w:pPr>
        <w:ind w:left="540" w:right="540"/>
        <w:jc w:val="both"/>
        <w:rPr>
          <w:sz w:val="24"/>
          <w:szCs w:val="24"/>
        </w:rPr>
      </w:pPr>
      <w:r w:rsidRPr="00B9018F">
        <w:rPr>
          <w:sz w:val="24"/>
          <w:szCs w:val="24"/>
        </w:rPr>
        <w:t>[W]</w:t>
      </w:r>
      <w:proofErr w:type="spellStart"/>
      <w:r w:rsidRPr="00B9018F">
        <w:rPr>
          <w:sz w:val="24"/>
          <w:szCs w:val="24"/>
        </w:rPr>
        <w:t>hen</w:t>
      </w:r>
      <w:proofErr w:type="spellEnd"/>
      <w:r w:rsidRPr="00B9018F">
        <w:rPr>
          <w:sz w:val="24"/>
          <w:szCs w:val="24"/>
        </w:rPr>
        <w:t xml:space="preserve"> faced with a settlement demand arising out of multiple claims and inadequate proceeds, an insurer may enter into a reasonable settlement with one of the several claimants even though such settlement exhausts or diminishes the proceeds available to satisfy other claims.</w:t>
      </w:r>
      <w:r w:rsidR="009442FB" w:rsidRPr="00B9018F">
        <w:rPr>
          <w:sz w:val="24"/>
          <w:szCs w:val="24"/>
        </w:rPr>
        <w:t xml:space="preserve"> </w:t>
      </w:r>
      <w:r w:rsidRPr="00B9018F">
        <w:rPr>
          <w:sz w:val="24"/>
          <w:szCs w:val="24"/>
        </w:rPr>
        <w:t>Such an approach, we believe, promotes settlement of lawsuits and encourages claimants to make their claims promptly</w:t>
      </w:r>
      <w:r w:rsidR="00B56C06" w:rsidRPr="00B9018F">
        <w:rPr>
          <w:sz w:val="24"/>
          <w:szCs w:val="24"/>
        </w:rPr>
        <w:t>.</w:t>
      </w:r>
      <w:r w:rsidR="00B56C06" w:rsidRPr="00B9018F">
        <w:rPr>
          <w:rStyle w:val="FootnoteReference"/>
          <w:sz w:val="24"/>
          <w:szCs w:val="24"/>
        </w:rPr>
        <w:footnoteReference w:id="99"/>
      </w:r>
    </w:p>
    <w:p w14:paraId="6006BB53" w14:textId="77777777" w:rsidR="001332B0" w:rsidRPr="00B9018F" w:rsidRDefault="001332B0" w:rsidP="001332B0">
      <w:pPr>
        <w:ind w:left="540" w:right="540"/>
        <w:jc w:val="both"/>
        <w:rPr>
          <w:sz w:val="24"/>
          <w:szCs w:val="24"/>
        </w:rPr>
      </w:pPr>
    </w:p>
    <w:p w14:paraId="267F034F" w14:textId="3A53A1EF" w:rsidR="001332B0" w:rsidRPr="00B9018F" w:rsidRDefault="001332B0" w:rsidP="001332B0">
      <w:pPr>
        <w:pStyle w:val="Signature"/>
        <w:ind w:left="0"/>
        <w:jc w:val="both"/>
        <w:rPr>
          <w:sz w:val="24"/>
          <w:szCs w:val="24"/>
        </w:rPr>
      </w:pPr>
      <w:r w:rsidRPr="00B9018F">
        <w:rPr>
          <w:sz w:val="24"/>
          <w:szCs w:val="24"/>
        </w:rPr>
        <w:t xml:space="preserve">The </w:t>
      </w:r>
      <w:r w:rsidR="009442FB" w:rsidRPr="00B9018F">
        <w:rPr>
          <w:sz w:val="24"/>
          <w:szCs w:val="24"/>
        </w:rPr>
        <w:t>“</w:t>
      </w:r>
      <w:r w:rsidRPr="00B9018F">
        <w:rPr>
          <w:sz w:val="24"/>
          <w:szCs w:val="24"/>
        </w:rPr>
        <w:t>reasonableness</w:t>
      </w:r>
      <w:r w:rsidR="009442FB" w:rsidRPr="00B9018F">
        <w:rPr>
          <w:sz w:val="24"/>
          <w:szCs w:val="24"/>
        </w:rPr>
        <w:t>”</w:t>
      </w:r>
      <w:r w:rsidRPr="00B9018F">
        <w:rPr>
          <w:sz w:val="24"/>
          <w:szCs w:val="24"/>
        </w:rPr>
        <w:t xml:space="preserve"> examination focuses solely on the merits of the settled claim.</w:t>
      </w:r>
      <w:r w:rsidR="00FE15FE" w:rsidRPr="00B9018F">
        <w:rPr>
          <w:sz w:val="24"/>
          <w:szCs w:val="24"/>
        </w:rPr>
        <w:t xml:space="preserve"> </w:t>
      </w:r>
      <w:r w:rsidRPr="00B9018F">
        <w:rPr>
          <w:sz w:val="24"/>
          <w:szCs w:val="24"/>
        </w:rPr>
        <w:t xml:space="preserve">In the abstract, if the insurer determines that a purported </w:t>
      </w:r>
      <w:r w:rsidRPr="00B9018F">
        <w:rPr>
          <w:i/>
          <w:sz w:val="24"/>
          <w:szCs w:val="24"/>
        </w:rPr>
        <w:t>Stowers</w:t>
      </w:r>
      <w:r w:rsidR="00801A53" w:rsidRPr="00B9018F">
        <w:rPr>
          <w:rStyle w:val="FootnoteReference"/>
          <w:i/>
          <w:sz w:val="24"/>
          <w:szCs w:val="24"/>
        </w:rPr>
        <w:footnoteReference w:id="100"/>
      </w:r>
      <w:r w:rsidRPr="00B9018F">
        <w:rPr>
          <w:sz w:val="24"/>
          <w:szCs w:val="24"/>
        </w:rPr>
        <w:t xml:space="preserve"> de</w:t>
      </w:r>
      <w:r w:rsidR="00B56C06" w:rsidRPr="00B9018F">
        <w:rPr>
          <w:sz w:val="24"/>
          <w:szCs w:val="24"/>
        </w:rPr>
        <w:t>mand is (1) for a covered claim, (2) within policy limits,</w:t>
      </w:r>
      <w:r w:rsidRPr="00B9018F">
        <w:rPr>
          <w:sz w:val="24"/>
          <w:szCs w:val="24"/>
        </w:rPr>
        <w:t xml:space="preserve"> and (3) one that an ordinarily prudent insurer would accept, then </w:t>
      </w:r>
      <w:r w:rsidRPr="00B9018F">
        <w:rPr>
          <w:i/>
          <w:sz w:val="24"/>
          <w:szCs w:val="24"/>
        </w:rPr>
        <w:t>Soriano</w:t>
      </w:r>
      <w:r w:rsidRPr="00B9018F">
        <w:rPr>
          <w:sz w:val="24"/>
          <w:szCs w:val="24"/>
        </w:rPr>
        <w:t xml:space="preserve"> may protect the insurer from subsequent claims </w:t>
      </w:r>
      <w:r w:rsidR="00D8604A">
        <w:rPr>
          <w:sz w:val="24"/>
          <w:szCs w:val="24"/>
        </w:rPr>
        <w:t>alleging</w:t>
      </w:r>
      <w:r w:rsidRPr="00B9018F">
        <w:rPr>
          <w:sz w:val="24"/>
          <w:szCs w:val="24"/>
        </w:rPr>
        <w:t xml:space="preserve"> that the insurer failed to protect </w:t>
      </w:r>
      <w:r w:rsidR="00D8604A">
        <w:rPr>
          <w:sz w:val="24"/>
          <w:szCs w:val="24"/>
        </w:rPr>
        <w:t xml:space="preserve">its </w:t>
      </w:r>
      <w:r w:rsidRPr="00B9018F">
        <w:rPr>
          <w:sz w:val="24"/>
          <w:szCs w:val="24"/>
        </w:rPr>
        <w:t>insured from a judgment in excess of the limits of insurance.</w:t>
      </w:r>
      <w:r w:rsidR="00B56C06" w:rsidRPr="00B9018F">
        <w:rPr>
          <w:rStyle w:val="FootnoteReference"/>
          <w:sz w:val="24"/>
          <w:szCs w:val="24"/>
        </w:rPr>
        <w:footnoteReference w:id="101"/>
      </w:r>
      <w:r w:rsidR="001B54C2" w:rsidRPr="00B9018F">
        <w:rPr>
          <w:sz w:val="24"/>
          <w:szCs w:val="24"/>
        </w:rPr>
        <w:t xml:space="preserve"> </w:t>
      </w:r>
    </w:p>
    <w:p w14:paraId="6E1A7320" w14:textId="77777777" w:rsidR="001332B0" w:rsidRPr="00B9018F" w:rsidRDefault="001332B0" w:rsidP="001332B0">
      <w:pPr>
        <w:pStyle w:val="Signature"/>
        <w:ind w:left="0"/>
        <w:jc w:val="both"/>
        <w:rPr>
          <w:sz w:val="24"/>
          <w:szCs w:val="24"/>
        </w:rPr>
      </w:pPr>
    </w:p>
    <w:p w14:paraId="07BF8A11" w14:textId="6F48B154" w:rsidR="001332B0" w:rsidRPr="00B9018F" w:rsidRDefault="001332B0" w:rsidP="001332B0">
      <w:pPr>
        <w:jc w:val="both"/>
        <w:rPr>
          <w:i/>
          <w:iCs/>
          <w:sz w:val="24"/>
          <w:szCs w:val="24"/>
        </w:rPr>
      </w:pPr>
      <w:r w:rsidRPr="00B9018F">
        <w:rPr>
          <w:sz w:val="24"/>
          <w:szCs w:val="24"/>
        </w:rPr>
        <w:tab/>
        <w:t>An insurer might also consider, if available, a federal or state interpleader action to manage multiple claims. An interpleader action is an equitable remedy that enables a neutral stakeholder, usually an insurance company or a bank, to shield itself from liability for paying over</w:t>
      </w:r>
      <w:r w:rsidR="00801A53" w:rsidRPr="00B9018F">
        <w:rPr>
          <w:sz w:val="24"/>
          <w:szCs w:val="24"/>
        </w:rPr>
        <w:t xml:space="preserve"> the stake to the wrong party.</w:t>
      </w:r>
      <w:r w:rsidR="00801A53" w:rsidRPr="00B9018F">
        <w:rPr>
          <w:rStyle w:val="FootnoteReference"/>
          <w:sz w:val="24"/>
          <w:szCs w:val="24"/>
        </w:rPr>
        <w:footnoteReference w:id="102"/>
      </w:r>
      <w:r w:rsidR="00801A53" w:rsidRPr="00B9018F">
        <w:rPr>
          <w:sz w:val="24"/>
          <w:szCs w:val="24"/>
        </w:rPr>
        <w:t xml:space="preserve"> </w:t>
      </w:r>
      <w:r w:rsidRPr="00B9018F">
        <w:rPr>
          <w:sz w:val="24"/>
          <w:szCs w:val="24"/>
        </w:rPr>
        <w:t>If the party seeking interpleader satisfies the interpleader requirements, it may seek dismissal from the action.</w:t>
      </w:r>
      <w:r w:rsidR="00801A53" w:rsidRPr="00B9018F">
        <w:rPr>
          <w:rStyle w:val="FootnoteReference"/>
          <w:sz w:val="24"/>
          <w:szCs w:val="24"/>
        </w:rPr>
        <w:footnoteReference w:id="103"/>
      </w:r>
      <w:r w:rsidRPr="00B9018F">
        <w:rPr>
          <w:sz w:val="24"/>
          <w:szCs w:val="24"/>
        </w:rPr>
        <w:t xml:space="preserve"> The district court will then make a determination of the respective rights of the claimants.</w:t>
      </w:r>
      <w:r w:rsidR="00801A53" w:rsidRPr="00B9018F">
        <w:rPr>
          <w:rStyle w:val="FootnoteReference"/>
          <w:sz w:val="24"/>
          <w:szCs w:val="24"/>
        </w:rPr>
        <w:footnoteReference w:id="104"/>
      </w:r>
      <w:r w:rsidR="00801A53" w:rsidRPr="00B9018F">
        <w:rPr>
          <w:sz w:val="24"/>
          <w:szCs w:val="24"/>
        </w:rPr>
        <w:t xml:space="preserve"> </w:t>
      </w:r>
      <w:r w:rsidRPr="00B9018F">
        <w:rPr>
          <w:sz w:val="24"/>
          <w:szCs w:val="24"/>
        </w:rPr>
        <w:t>In an interpleader action</w:t>
      </w:r>
      <w:r w:rsidR="00E33E8A">
        <w:rPr>
          <w:sz w:val="24"/>
          <w:szCs w:val="24"/>
        </w:rPr>
        <w:t>,</w:t>
      </w:r>
      <w:r w:rsidRPr="00B9018F">
        <w:rPr>
          <w:sz w:val="24"/>
          <w:szCs w:val="24"/>
        </w:rPr>
        <w:t xml:space="preserve"> the district court may also enter an order restraining the claimants from instituting any proceeding affecting the property until further order of the court.</w:t>
      </w:r>
      <w:r w:rsidR="00801A53" w:rsidRPr="00B9018F">
        <w:rPr>
          <w:rStyle w:val="FootnoteReference"/>
          <w:sz w:val="24"/>
          <w:szCs w:val="24"/>
        </w:rPr>
        <w:footnoteReference w:id="105"/>
      </w:r>
    </w:p>
    <w:p w14:paraId="5A204FD1" w14:textId="77777777" w:rsidR="001332B0" w:rsidRPr="00B9018F" w:rsidRDefault="001332B0" w:rsidP="001332B0">
      <w:pPr>
        <w:jc w:val="both"/>
        <w:rPr>
          <w:sz w:val="24"/>
          <w:szCs w:val="24"/>
        </w:rPr>
      </w:pPr>
    </w:p>
    <w:p w14:paraId="24A2F41F" w14:textId="559B0814" w:rsidR="001332B0" w:rsidRPr="00B9018F" w:rsidRDefault="001332B0" w:rsidP="001332B0">
      <w:pPr>
        <w:spacing w:after="240"/>
        <w:jc w:val="both"/>
        <w:rPr>
          <w:sz w:val="24"/>
          <w:szCs w:val="24"/>
        </w:rPr>
      </w:pPr>
      <w:r w:rsidRPr="00B9018F">
        <w:rPr>
          <w:sz w:val="24"/>
          <w:szCs w:val="24"/>
        </w:rPr>
        <w:tab/>
        <w:t>A stakeholder may bring an interpleader action under Fed</w:t>
      </w:r>
      <w:r w:rsidR="008122F3" w:rsidRPr="00B9018F">
        <w:rPr>
          <w:sz w:val="24"/>
          <w:szCs w:val="24"/>
        </w:rPr>
        <w:t>eral Rule of Civil Procedure 22</w:t>
      </w:r>
      <w:r w:rsidRPr="00B9018F">
        <w:rPr>
          <w:sz w:val="24"/>
          <w:szCs w:val="24"/>
        </w:rPr>
        <w:t xml:space="preserve"> or under 28 U.S.C. § 1335. In the absence of federal question jurisdiction, a Rule 22 action requires independent diversity jurisdiction, with complete diversity between the stakeholder and all claimants.</w:t>
      </w:r>
      <w:r w:rsidR="008122F3" w:rsidRPr="00B9018F">
        <w:rPr>
          <w:rStyle w:val="FootnoteReference"/>
          <w:sz w:val="24"/>
          <w:szCs w:val="24"/>
        </w:rPr>
        <w:footnoteReference w:id="106"/>
      </w:r>
      <w:r w:rsidRPr="00B9018F">
        <w:rPr>
          <w:sz w:val="24"/>
          <w:szCs w:val="24"/>
        </w:rPr>
        <w:t xml:space="preserve"> This requires </w:t>
      </w:r>
      <w:r w:rsidRPr="00B9018F">
        <w:rPr>
          <w:i/>
          <w:iCs/>
          <w:sz w:val="24"/>
          <w:szCs w:val="24"/>
        </w:rPr>
        <w:t>complete</w:t>
      </w:r>
      <w:r w:rsidRPr="00B9018F">
        <w:rPr>
          <w:sz w:val="24"/>
          <w:szCs w:val="24"/>
        </w:rPr>
        <w:t xml:space="preserve"> diversity—not among claimants, but as between the int</w:t>
      </w:r>
      <w:r w:rsidR="00E33E8A">
        <w:rPr>
          <w:sz w:val="24"/>
          <w:szCs w:val="24"/>
        </w:rPr>
        <w:t>erpleader plaintiff on one side</w:t>
      </w:r>
      <w:r w:rsidRPr="00B9018F">
        <w:rPr>
          <w:sz w:val="24"/>
          <w:szCs w:val="24"/>
        </w:rPr>
        <w:t xml:space="preserve"> and all claimants on the other.</w:t>
      </w:r>
      <w:r w:rsidR="008122F3" w:rsidRPr="00B9018F">
        <w:rPr>
          <w:rStyle w:val="FootnoteReference"/>
          <w:sz w:val="24"/>
          <w:szCs w:val="24"/>
        </w:rPr>
        <w:footnoteReference w:id="107"/>
      </w:r>
      <w:r w:rsidRPr="00B9018F">
        <w:rPr>
          <w:sz w:val="24"/>
          <w:szCs w:val="24"/>
        </w:rPr>
        <w:t xml:space="preserve"> In contrast, section 1335 actions provide independent jurisdiction and require only minimal diversity.</w:t>
      </w:r>
      <w:r w:rsidR="008122F3" w:rsidRPr="00B9018F">
        <w:rPr>
          <w:rStyle w:val="FootnoteReference"/>
          <w:sz w:val="24"/>
          <w:szCs w:val="24"/>
        </w:rPr>
        <w:footnoteReference w:id="108"/>
      </w:r>
      <w:r w:rsidRPr="00B9018F">
        <w:rPr>
          <w:sz w:val="24"/>
          <w:szCs w:val="24"/>
        </w:rPr>
        <w:t xml:space="preserve"> Further, a section 1335 stakeholder must actually deposit the funds into the court</w:t>
      </w:r>
      <w:r w:rsidR="009442FB" w:rsidRPr="00B9018F">
        <w:rPr>
          <w:sz w:val="24"/>
          <w:szCs w:val="24"/>
        </w:rPr>
        <w:t>’</w:t>
      </w:r>
      <w:r w:rsidRPr="00B9018F">
        <w:rPr>
          <w:sz w:val="24"/>
          <w:szCs w:val="24"/>
        </w:rPr>
        <w:t>s registry to maintain the action.</w:t>
      </w:r>
      <w:r w:rsidR="008122F3" w:rsidRPr="00B9018F">
        <w:rPr>
          <w:rStyle w:val="FootnoteReference"/>
          <w:sz w:val="24"/>
          <w:szCs w:val="24"/>
        </w:rPr>
        <w:footnoteReference w:id="109"/>
      </w:r>
      <w:r w:rsidR="009442FB" w:rsidRPr="00B9018F">
        <w:rPr>
          <w:sz w:val="24"/>
          <w:szCs w:val="24"/>
        </w:rPr>
        <w:t xml:space="preserve"> </w:t>
      </w:r>
    </w:p>
    <w:p w14:paraId="1A7C1205" w14:textId="02A02868" w:rsidR="001332B0" w:rsidRPr="00B9018F" w:rsidRDefault="001332B0" w:rsidP="001332B0">
      <w:pPr>
        <w:jc w:val="both"/>
        <w:rPr>
          <w:sz w:val="24"/>
          <w:szCs w:val="24"/>
        </w:rPr>
      </w:pPr>
      <w:r w:rsidRPr="00B9018F">
        <w:rPr>
          <w:sz w:val="24"/>
          <w:szCs w:val="24"/>
        </w:rPr>
        <w:tab/>
        <w:t>In Texas, Rule 43 of the Texas Rules of Civil Procedure authorizes a party faced with competing claims to property in its possession to join all claimants in one lawsuit and deposit the disputed property into the registry of the court. A party is entitled to interpleader relief if three elements are met: (1) it is either subject to, or has reasonable grounds to anticipate, rival claims to the same funds</w:t>
      </w:r>
      <w:r w:rsidR="00E33E8A">
        <w:rPr>
          <w:sz w:val="24"/>
          <w:szCs w:val="24"/>
        </w:rPr>
        <w:t>,</w:t>
      </w:r>
      <w:r w:rsidRPr="00B9018F">
        <w:rPr>
          <w:sz w:val="24"/>
          <w:szCs w:val="24"/>
        </w:rPr>
        <w:t xml:space="preserve"> (2) it has not unreasonably delayed fil</w:t>
      </w:r>
      <w:r w:rsidR="00E33E8A">
        <w:rPr>
          <w:sz w:val="24"/>
          <w:szCs w:val="24"/>
        </w:rPr>
        <w:t>ing its action for interpleader,</w:t>
      </w:r>
      <w:r w:rsidRPr="00B9018F">
        <w:rPr>
          <w:sz w:val="24"/>
          <w:szCs w:val="24"/>
        </w:rPr>
        <w:t xml:space="preserve"> and (3) it has unconditionally tendered the funds into the registry of the court.</w:t>
      </w:r>
      <w:r w:rsidR="008122F3" w:rsidRPr="00B9018F">
        <w:rPr>
          <w:rStyle w:val="FootnoteReference"/>
          <w:sz w:val="24"/>
          <w:szCs w:val="24"/>
        </w:rPr>
        <w:footnoteReference w:id="110"/>
      </w:r>
      <w:r w:rsidRPr="00B9018F">
        <w:rPr>
          <w:sz w:val="24"/>
          <w:szCs w:val="24"/>
        </w:rPr>
        <w:t xml:space="preserve"> When insurers receive notice of adverse bona fide claims, they are not required to act as judge and jury or to pay one claim a</w:t>
      </w:r>
      <w:r w:rsidR="00542745">
        <w:rPr>
          <w:sz w:val="24"/>
          <w:szCs w:val="24"/>
        </w:rPr>
        <w:t>nd risk liability on the other. I</w:t>
      </w:r>
      <w:r w:rsidRPr="00B9018F">
        <w:rPr>
          <w:sz w:val="24"/>
          <w:szCs w:val="24"/>
        </w:rPr>
        <w:t>nstead, if a reasonable doubt exists in law or fact as to whom the proceeds belong, an insurer should interplead them and let the courts decide.</w:t>
      </w:r>
      <w:r w:rsidR="009E7543" w:rsidRPr="00B9018F">
        <w:rPr>
          <w:rStyle w:val="FootnoteReference"/>
          <w:sz w:val="24"/>
          <w:szCs w:val="24"/>
        </w:rPr>
        <w:footnoteReference w:id="111"/>
      </w:r>
      <w:r w:rsidRPr="00B9018F">
        <w:rPr>
          <w:sz w:val="24"/>
          <w:szCs w:val="24"/>
        </w:rPr>
        <w:t xml:space="preserve"> By interpleading the funds, the defendant obtains a discharge of liability of the competing claims.</w:t>
      </w:r>
      <w:r w:rsidR="009E7543" w:rsidRPr="00B9018F">
        <w:rPr>
          <w:rStyle w:val="FootnoteReference"/>
          <w:sz w:val="24"/>
          <w:szCs w:val="24"/>
        </w:rPr>
        <w:footnoteReference w:id="112"/>
      </w:r>
      <w:r w:rsidRPr="00B9018F">
        <w:rPr>
          <w:sz w:val="24"/>
          <w:szCs w:val="24"/>
        </w:rPr>
        <w:t xml:space="preserve"> </w:t>
      </w:r>
    </w:p>
    <w:p w14:paraId="24CC0B9B" w14:textId="77777777" w:rsidR="001332B0" w:rsidRPr="00B9018F" w:rsidRDefault="001332B0" w:rsidP="001332B0">
      <w:pPr>
        <w:jc w:val="both"/>
        <w:rPr>
          <w:sz w:val="24"/>
          <w:szCs w:val="24"/>
        </w:rPr>
      </w:pPr>
    </w:p>
    <w:p w14:paraId="42E5FF38" w14:textId="320BE3E0" w:rsidR="001332B0" w:rsidRPr="00B9018F" w:rsidRDefault="001332B0" w:rsidP="001332B0">
      <w:pPr>
        <w:jc w:val="both"/>
        <w:rPr>
          <w:sz w:val="24"/>
          <w:szCs w:val="24"/>
        </w:rPr>
      </w:pPr>
      <w:r w:rsidRPr="00B9018F">
        <w:rPr>
          <w:sz w:val="24"/>
          <w:szCs w:val="24"/>
        </w:rPr>
        <w:tab/>
        <w:t>In aid of its jurisdiction in the matter of interpleader, the court may enjoi</w:t>
      </w:r>
      <w:r w:rsidR="00542745">
        <w:rPr>
          <w:sz w:val="24"/>
          <w:szCs w:val="24"/>
        </w:rPr>
        <w:t xml:space="preserve">n the prosecution of an action </w:t>
      </w:r>
      <w:r w:rsidRPr="00B9018F">
        <w:rPr>
          <w:sz w:val="24"/>
          <w:szCs w:val="24"/>
        </w:rPr>
        <w:t>or the enforcement of a judgment that relates to the subject matter of the interpleader.</w:t>
      </w:r>
      <w:r w:rsidR="009E7543" w:rsidRPr="00B9018F">
        <w:rPr>
          <w:rStyle w:val="FootnoteReference"/>
          <w:sz w:val="24"/>
          <w:szCs w:val="24"/>
        </w:rPr>
        <w:footnoteReference w:id="113"/>
      </w:r>
      <w:r w:rsidRPr="00B9018F">
        <w:rPr>
          <w:sz w:val="24"/>
          <w:szCs w:val="24"/>
        </w:rPr>
        <w:t xml:space="preserve"> Furthermore, a claimant who opts out of the interpleader action may not maintain a subsequent claim for the interple</w:t>
      </w:r>
      <w:r w:rsidR="00E33E8A">
        <w:rPr>
          <w:sz w:val="24"/>
          <w:szCs w:val="24"/>
        </w:rPr>
        <w:t>a</w:t>
      </w:r>
      <w:r w:rsidRPr="00B9018F">
        <w:rPr>
          <w:sz w:val="24"/>
          <w:szCs w:val="24"/>
        </w:rPr>
        <w:t>d</w:t>
      </w:r>
      <w:r w:rsidR="00E33E8A">
        <w:rPr>
          <w:sz w:val="24"/>
          <w:szCs w:val="24"/>
        </w:rPr>
        <w:t>ed</w:t>
      </w:r>
      <w:r w:rsidRPr="00B9018F">
        <w:rPr>
          <w:sz w:val="24"/>
          <w:szCs w:val="24"/>
        </w:rPr>
        <w:t xml:space="preserve"> </w:t>
      </w:r>
      <w:r w:rsidR="009E7543" w:rsidRPr="00B9018F">
        <w:rPr>
          <w:sz w:val="24"/>
          <w:szCs w:val="24"/>
        </w:rPr>
        <w:t>property.</w:t>
      </w:r>
      <w:r w:rsidR="009E7543" w:rsidRPr="00B9018F">
        <w:rPr>
          <w:rStyle w:val="FootnoteReference"/>
          <w:sz w:val="24"/>
          <w:szCs w:val="24"/>
        </w:rPr>
        <w:footnoteReference w:id="114"/>
      </w:r>
    </w:p>
    <w:p w14:paraId="0C7CCCE1" w14:textId="77777777" w:rsidR="001332B0" w:rsidRPr="00B9018F" w:rsidRDefault="001332B0" w:rsidP="001332B0">
      <w:pPr>
        <w:jc w:val="both"/>
        <w:rPr>
          <w:sz w:val="24"/>
          <w:szCs w:val="24"/>
        </w:rPr>
      </w:pPr>
    </w:p>
    <w:p w14:paraId="2ACC9CCC" w14:textId="4425C7DE" w:rsidR="001332B0" w:rsidRPr="00B9018F" w:rsidRDefault="001332B0" w:rsidP="001332B0">
      <w:pPr>
        <w:jc w:val="both"/>
        <w:rPr>
          <w:sz w:val="24"/>
          <w:szCs w:val="24"/>
        </w:rPr>
      </w:pPr>
      <w:r w:rsidRPr="00B9018F">
        <w:rPr>
          <w:sz w:val="24"/>
          <w:szCs w:val="24"/>
        </w:rPr>
        <w:tab/>
        <w:t>Texas Courts have yet to apply Rule 43 interpleader in the context of an insurer faced with multiple valid claims that, together, exceed policy limits. However, insurers in Texas regularly use interpleader actions under Rule 43 to settle disputes among claimants.</w:t>
      </w:r>
      <w:r w:rsidR="00FA69F4" w:rsidRPr="00B9018F">
        <w:rPr>
          <w:rStyle w:val="FootnoteReference"/>
          <w:sz w:val="24"/>
          <w:szCs w:val="24"/>
        </w:rPr>
        <w:footnoteReference w:id="115"/>
      </w:r>
      <w:r w:rsidRPr="00B9018F">
        <w:rPr>
          <w:sz w:val="24"/>
          <w:szCs w:val="24"/>
        </w:rPr>
        <w:t xml:space="preserve"> Moreover, </w:t>
      </w:r>
      <w:r w:rsidR="009442FB" w:rsidRPr="00B9018F">
        <w:rPr>
          <w:sz w:val="24"/>
          <w:szCs w:val="24"/>
        </w:rPr>
        <w:t>“</w:t>
      </w:r>
      <w:r w:rsidRPr="00B9018F">
        <w:rPr>
          <w:sz w:val="24"/>
          <w:szCs w:val="24"/>
        </w:rPr>
        <w:t xml:space="preserve">Texas courts have uniformly held that an insurer will not be liable for statutory penalties </w:t>
      </w:r>
      <w:r w:rsidR="00542745">
        <w:rPr>
          <w:sz w:val="24"/>
          <w:szCs w:val="24"/>
        </w:rPr>
        <w:t>or</w:t>
      </w:r>
      <w:r w:rsidRPr="00B9018F">
        <w:rPr>
          <w:sz w:val="24"/>
          <w:szCs w:val="24"/>
        </w:rPr>
        <w:t xml:space="preserve"> attorney</w:t>
      </w:r>
      <w:r w:rsidR="009442FB" w:rsidRPr="00B9018F">
        <w:rPr>
          <w:sz w:val="24"/>
          <w:szCs w:val="24"/>
        </w:rPr>
        <w:t>’</w:t>
      </w:r>
      <w:r w:rsidRPr="00B9018F">
        <w:rPr>
          <w:sz w:val="24"/>
          <w:szCs w:val="24"/>
        </w:rPr>
        <w:t>s fees for interpleading insurance proce</w:t>
      </w:r>
      <w:r w:rsidR="00FA69F4" w:rsidRPr="00B9018F">
        <w:rPr>
          <w:sz w:val="24"/>
          <w:szCs w:val="24"/>
        </w:rPr>
        <w:t>eds due to conflicting claims.</w:t>
      </w:r>
      <w:r w:rsidR="009442FB" w:rsidRPr="00B9018F">
        <w:rPr>
          <w:sz w:val="24"/>
          <w:szCs w:val="24"/>
        </w:rPr>
        <w:t>”</w:t>
      </w:r>
      <w:r w:rsidR="00FA69F4" w:rsidRPr="00B9018F">
        <w:rPr>
          <w:rStyle w:val="FootnoteReference"/>
          <w:sz w:val="24"/>
          <w:szCs w:val="24"/>
        </w:rPr>
        <w:footnoteReference w:id="116"/>
      </w:r>
    </w:p>
    <w:p w14:paraId="328AF401" w14:textId="77777777" w:rsidR="00C22540" w:rsidRPr="00B9018F" w:rsidRDefault="00C22540" w:rsidP="00C22540">
      <w:pPr>
        <w:rPr>
          <w:sz w:val="24"/>
          <w:szCs w:val="24"/>
        </w:rPr>
      </w:pPr>
    </w:p>
    <w:p w14:paraId="731E045A" w14:textId="49BDF7D2" w:rsidR="00C22540" w:rsidRPr="00B9018F" w:rsidRDefault="00B174B5" w:rsidP="00C22540">
      <w:pPr>
        <w:rPr>
          <w:b/>
          <w:sz w:val="24"/>
          <w:szCs w:val="24"/>
        </w:rPr>
      </w:pPr>
      <w:r w:rsidRPr="00B9018F">
        <w:rPr>
          <w:b/>
          <w:sz w:val="24"/>
          <w:szCs w:val="24"/>
        </w:rPr>
        <w:t>(</w:t>
      </w:r>
      <w:r w:rsidR="00542745">
        <w:rPr>
          <w:b/>
          <w:sz w:val="24"/>
          <w:szCs w:val="24"/>
        </w:rPr>
        <w:t>4</w:t>
      </w:r>
      <w:r w:rsidRPr="00B9018F">
        <w:rPr>
          <w:b/>
          <w:sz w:val="24"/>
          <w:szCs w:val="24"/>
        </w:rPr>
        <w:t>)</w:t>
      </w:r>
      <w:r w:rsidR="00C22540" w:rsidRPr="00B9018F">
        <w:rPr>
          <w:b/>
          <w:sz w:val="24"/>
          <w:szCs w:val="24"/>
        </w:rPr>
        <w:tab/>
        <w:t>Dealing with Regulatory Bodies and the Press</w:t>
      </w:r>
    </w:p>
    <w:p w14:paraId="6199D58C" w14:textId="77777777" w:rsidR="00C22540" w:rsidRPr="00B9018F" w:rsidRDefault="00C22540" w:rsidP="00C22540">
      <w:pPr>
        <w:rPr>
          <w:sz w:val="24"/>
          <w:szCs w:val="24"/>
        </w:rPr>
      </w:pPr>
    </w:p>
    <w:p w14:paraId="65A2486E" w14:textId="581EB332" w:rsidR="00C22540" w:rsidRPr="00B9018F" w:rsidRDefault="00ED401C" w:rsidP="00C22540">
      <w:pPr>
        <w:jc w:val="both"/>
        <w:rPr>
          <w:sz w:val="24"/>
          <w:szCs w:val="24"/>
        </w:rPr>
      </w:pPr>
      <w:r w:rsidRPr="00B9018F">
        <w:rPr>
          <w:sz w:val="24"/>
          <w:szCs w:val="24"/>
        </w:rPr>
        <w:tab/>
        <w:t>Inevitably,</w:t>
      </w:r>
      <w:r w:rsidR="00542745">
        <w:rPr>
          <w:sz w:val="24"/>
          <w:szCs w:val="24"/>
        </w:rPr>
        <w:t xml:space="preserve"> some</w:t>
      </w:r>
      <w:r w:rsidRPr="00B9018F">
        <w:rPr>
          <w:sz w:val="24"/>
          <w:szCs w:val="24"/>
        </w:rPr>
        <w:t xml:space="preserve"> climate change claims will involve </w:t>
      </w:r>
      <w:r w:rsidR="00C22540" w:rsidRPr="00B9018F">
        <w:rPr>
          <w:sz w:val="24"/>
          <w:szCs w:val="24"/>
        </w:rPr>
        <w:t>the press</w:t>
      </w:r>
      <w:r w:rsidR="00542745">
        <w:rPr>
          <w:sz w:val="24"/>
          <w:szCs w:val="24"/>
        </w:rPr>
        <w:t xml:space="preserve">, </w:t>
      </w:r>
      <w:r w:rsidR="00C22540" w:rsidRPr="00B9018F">
        <w:rPr>
          <w:sz w:val="24"/>
          <w:szCs w:val="24"/>
        </w:rPr>
        <w:t xml:space="preserve">as well as local, state, and federal regulatory bodies. In both cases, </w:t>
      </w:r>
      <w:r w:rsidR="00542745">
        <w:rPr>
          <w:sz w:val="24"/>
          <w:szCs w:val="24"/>
        </w:rPr>
        <w:t xml:space="preserve">insurers should </w:t>
      </w:r>
      <w:r w:rsidR="00C22540" w:rsidRPr="00B9018F">
        <w:rPr>
          <w:sz w:val="24"/>
          <w:szCs w:val="24"/>
        </w:rPr>
        <w:t xml:space="preserve">be </w:t>
      </w:r>
      <w:r w:rsidR="00542745">
        <w:rPr>
          <w:sz w:val="24"/>
          <w:szCs w:val="24"/>
        </w:rPr>
        <w:t>careful to protect both their own interest</w:t>
      </w:r>
      <w:r w:rsidR="00CC58F8">
        <w:rPr>
          <w:sz w:val="24"/>
          <w:szCs w:val="24"/>
        </w:rPr>
        <w:t>s</w:t>
      </w:r>
      <w:r w:rsidR="00542745">
        <w:rPr>
          <w:sz w:val="24"/>
          <w:szCs w:val="24"/>
        </w:rPr>
        <w:t xml:space="preserve"> and the interests of their insureds. Insurers, where appropriate, </w:t>
      </w:r>
      <w:r w:rsidR="00C22540" w:rsidRPr="00B9018F">
        <w:rPr>
          <w:sz w:val="24"/>
          <w:szCs w:val="24"/>
        </w:rPr>
        <w:t xml:space="preserve">can direct </w:t>
      </w:r>
      <w:r w:rsidR="00542745">
        <w:rPr>
          <w:sz w:val="24"/>
          <w:szCs w:val="24"/>
        </w:rPr>
        <w:t>members of the</w:t>
      </w:r>
      <w:r w:rsidR="00C22540" w:rsidRPr="00B9018F">
        <w:rPr>
          <w:sz w:val="24"/>
          <w:szCs w:val="24"/>
        </w:rPr>
        <w:t xml:space="preserve"> press to emergency officials or </w:t>
      </w:r>
      <w:r w:rsidR="00CC58F8">
        <w:rPr>
          <w:sz w:val="24"/>
          <w:szCs w:val="24"/>
        </w:rPr>
        <w:t xml:space="preserve">to </w:t>
      </w:r>
      <w:r w:rsidR="00C22540" w:rsidRPr="00B9018F">
        <w:rPr>
          <w:sz w:val="24"/>
          <w:szCs w:val="24"/>
        </w:rPr>
        <w:t xml:space="preserve">defense counsel. </w:t>
      </w:r>
      <w:r w:rsidR="00542745">
        <w:rPr>
          <w:sz w:val="24"/>
          <w:szCs w:val="24"/>
        </w:rPr>
        <w:t xml:space="preserve">Moreover, when dealing with </w:t>
      </w:r>
      <w:r w:rsidR="00C22540" w:rsidRPr="00B9018F">
        <w:rPr>
          <w:sz w:val="24"/>
          <w:szCs w:val="24"/>
        </w:rPr>
        <w:t>regulatory bodies and other</w:t>
      </w:r>
      <w:r w:rsidR="00542745">
        <w:rPr>
          <w:sz w:val="24"/>
          <w:szCs w:val="24"/>
        </w:rPr>
        <w:t xml:space="preserve"> government</w:t>
      </w:r>
      <w:r w:rsidR="00C22540" w:rsidRPr="00B9018F">
        <w:rPr>
          <w:sz w:val="24"/>
          <w:szCs w:val="24"/>
        </w:rPr>
        <w:t xml:space="preserve"> officials, while </w:t>
      </w:r>
      <w:r w:rsidR="00542745">
        <w:rPr>
          <w:sz w:val="24"/>
          <w:szCs w:val="24"/>
        </w:rPr>
        <w:t>insurers</w:t>
      </w:r>
      <w:r w:rsidR="00C22540" w:rsidRPr="00B9018F">
        <w:rPr>
          <w:sz w:val="24"/>
          <w:szCs w:val="24"/>
        </w:rPr>
        <w:t xml:space="preserve"> certainly </w:t>
      </w:r>
      <w:r w:rsidR="00542745">
        <w:rPr>
          <w:sz w:val="24"/>
          <w:szCs w:val="24"/>
        </w:rPr>
        <w:t>should</w:t>
      </w:r>
      <w:r w:rsidR="00C22540" w:rsidRPr="00B9018F">
        <w:rPr>
          <w:sz w:val="24"/>
          <w:szCs w:val="24"/>
        </w:rPr>
        <w:t xml:space="preserve"> cooperate within the bounds of </w:t>
      </w:r>
      <w:r w:rsidR="00542745">
        <w:rPr>
          <w:sz w:val="24"/>
          <w:szCs w:val="24"/>
        </w:rPr>
        <w:t xml:space="preserve">their </w:t>
      </w:r>
      <w:r w:rsidR="00C22540" w:rsidRPr="00B9018F">
        <w:rPr>
          <w:sz w:val="24"/>
          <w:szCs w:val="24"/>
        </w:rPr>
        <w:t xml:space="preserve">legal obligations, </w:t>
      </w:r>
      <w:r w:rsidR="00885B24">
        <w:rPr>
          <w:sz w:val="24"/>
          <w:szCs w:val="24"/>
        </w:rPr>
        <w:t>they</w:t>
      </w:r>
      <w:r w:rsidR="00542745">
        <w:rPr>
          <w:sz w:val="24"/>
          <w:szCs w:val="24"/>
        </w:rPr>
        <w:t xml:space="preserve"> should also </w:t>
      </w:r>
      <w:r w:rsidR="00C22540" w:rsidRPr="00B9018F">
        <w:rPr>
          <w:sz w:val="24"/>
          <w:szCs w:val="24"/>
        </w:rPr>
        <w:t xml:space="preserve">be </w:t>
      </w:r>
      <w:r w:rsidR="00542745">
        <w:rPr>
          <w:sz w:val="24"/>
          <w:szCs w:val="24"/>
        </w:rPr>
        <w:t>mindful to protect any information that is confidential or privileged as to the insurer and its insured</w:t>
      </w:r>
      <w:r w:rsidR="00885B24">
        <w:rPr>
          <w:sz w:val="24"/>
          <w:szCs w:val="24"/>
        </w:rPr>
        <w:t>s</w:t>
      </w:r>
      <w:r w:rsidR="00C22540" w:rsidRPr="00B9018F">
        <w:rPr>
          <w:sz w:val="24"/>
          <w:szCs w:val="24"/>
        </w:rPr>
        <w:t xml:space="preserve">. Knowledgeable local counsel or defense counsel can help in anticipating and addressing relevant issues. </w:t>
      </w:r>
      <w:r w:rsidR="00885B24">
        <w:rPr>
          <w:sz w:val="24"/>
          <w:szCs w:val="24"/>
        </w:rPr>
        <w:t>Any insurer that does not have general protocols in place for corresponding with the press or regulatory agencies should work with its legal counsel to prepare such protocols so as to not be caught off-guard.</w:t>
      </w:r>
    </w:p>
    <w:p w14:paraId="45A3A8AE" w14:textId="77777777" w:rsidR="00C22540" w:rsidRPr="00B9018F" w:rsidRDefault="00C22540" w:rsidP="00F43177">
      <w:pPr>
        <w:rPr>
          <w:b/>
          <w:sz w:val="24"/>
          <w:szCs w:val="24"/>
          <w:u w:val="single"/>
        </w:rPr>
      </w:pPr>
    </w:p>
    <w:p w14:paraId="20913D37" w14:textId="087C0885" w:rsidR="005A2E4F" w:rsidRPr="00B9018F" w:rsidRDefault="00885B24" w:rsidP="00FA585F">
      <w:pPr>
        <w:jc w:val="center"/>
        <w:rPr>
          <w:b/>
          <w:sz w:val="24"/>
          <w:szCs w:val="24"/>
          <w:u w:val="single"/>
        </w:rPr>
      </w:pPr>
      <w:r w:rsidRPr="00885B24">
        <w:rPr>
          <w:b/>
          <w:sz w:val="24"/>
          <w:szCs w:val="24"/>
        </w:rPr>
        <w:t>V</w:t>
      </w:r>
      <w:r w:rsidR="00FA585F" w:rsidRPr="00885B24">
        <w:rPr>
          <w:b/>
          <w:sz w:val="24"/>
          <w:szCs w:val="24"/>
        </w:rPr>
        <w:t>.</w:t>
      </w:r>
      <w:r w:rsidR="00FA585F" w:rsidRPr="00B9018F">
        <w:rPr>
          <w:b/>
          <w:sz w:val="24"/>
          <w:szCs w:val="24"/>
        </w:rPr>
        <w:tab/>
      </w:r>
      <w:r w:rsidR="005A2E4F" w:rsidRPr="00B9018F">
        <w:rPr>
          <w:b/>
          <w:sz w:val="24"/>
          <w:szCs w:val="24"/>
          <w:u w:val="single"/>
        </w:rPr>
        <w:t>Conclusion</w:t>
      </w:r>
    </w:p>
    <w:p w14:paraId="6A7858B1" w14:textId="77777777" w:rsidR="005A2E4F" w:rsidRPr="00B9018F" w:rsidRDefault="005A2E4F" w:rsidP="00F43177">
      <w:pPr>
        <w:rPr>
          <w:b/>
          <w:sz w:val="24"/>
          <w:szCs w:val="24"/>
          <w:u w:val="single"/>
        </w:rPr>
      </w:pPr>
    </w:p>
    <w:p w14:paraId="25EF6B06" w14:textId="1D92D630" w:rsidR="005A2E4F" w:rsidRPr="00CC58F8" w:rsidRDefault="004011F2" w:rsidP="00CC58F8">
      <w:pPr>
        <w:jc w:val="both"/>
        <w:rPr>
          <w:b/>
          <w:sz w:val="24"/>
          <w:szCs w:val="24"/>
          <w:u w:val="single"/>
        </w:rPr>
      </w:pPr>
      <w:r w:rsidRPr="00CC58F8">
        <w:rPr>
          <w:sz w:val="24"/>
          <w:szCs w:val="24"/>
        </w:rPr>
        <w:tab/>
      </w:r>
      <w:r w:rsidR="00885B24" w:rsidRPr="00CC58F8">
        <w:rPr>
          <w:sz w:val="24"/>
          <w:szCs w:val="24"/>
        </w:rPr>
        <w:t xml:space="preserve">Although climate change claims present some unique challenges for insurers, the apparent novelty of these claims has often already been addressed within the broader framework of insurance coverage law. </w:t>
      </w:r>
      <w:r w:rsidR="008977FE" w:rsidRPr="00CC58F8">
        <w:rPr>
          <w:sz w:val="24"/>
          <w:szCs w:val="24"/>
        </w:rPr>
        <w:t>However, insurers should still be aware of the pitfalls that climate change claims</w:t>
      </w:r>
      <w:r w:rsidR="00CC58F8" w:rsidRPr="00CC58F8">
        <w:rPr>
          <w:sz w:val="24"/>
          <w:szCs w:val="24"/>
        </w:rPr>
        <w:t xml:space="preserve"> potentially</w:t>
      </w:r>
      <w:r w:rsidR="008977FE" w:rsidRPr="00CC58F8">
        <w:rPr>
          <w:sz w:val="24"/>
          <w:szCs w:val="24"/>
        </w:rPr>
        <w:t xml:space="preserve"> present, and they should understand the full breadth of their potential obligations. Fortunately, the existing framework of insurance coverage law provides ample guidance for understanding this new species of claim.</w:t>
      </w:r>
      <w:r w:rsidR="00B07187" w:rsidRPr="00CC58F8">
        <w:rPr>
          <w:sz w:val="24"/>
          <w:szCs w:val="24"/>
        </w:rPr>
        <w:t xml:space="preserve"> </w:t>
      </w:r>
      <w:r w:rsidR="00CC58F8" w:rsidRPr="00CC58F8">
        <w:rPr>
          <w:sz w:val="24"/>
          <w:szCs w:val="24"/>
        </w:rPr>
        <w:t>S</w:t>
      </w:r>
      <w:r w:rsidR="00CF6808" w:rsidRPr="00CC58F8">
        <w:rPr>
          <w:sz w:val="24"/>
          <w:szCs w:val="24"/>
        </w:rPr>
        <w:t>ome</w:t>
      </w:r>
      <w:r w:rsidR="00B07187" w:rsidRPr="00CC58F8">
        <w:rPr>
          <w:sz w:val="24"/>
          <w:szCs w:val="24"/>
        </w:rPr>
        <w:t xml:space="preserve"> questions remain unanswered,</w:t>
      </w:r>
      <w:r w:rsidR="00CF6808" w:rsidRPr="00CC58F8">
        <w:rPr>
          <w:sz w:val="24"/>
          <w:szCs w:val="24"/>
        </w:rPr>
        <w:t xml:space="preserve"> and the lack of total clarity will inevitably invite unwanted coverage disputes. But, </w:t>
      </w:r>
      <w:r w:rsidR="00CC58F8" w:rsidRPr="00CC58F8">
        <w:rPr>
          <w:sz w:val="24"/>
          <w:szCs w:val="24"/>
        </w:rPr>
        <w:t>in light of</w:t>
      </w:r>
      <w:r w:rsidR="00CF6808" w:rsidRPr="00CC58F8">
        <w:rPr>
          <w:sz w:val="24"/>
          <w:szCs w:val="24"/>
        </w:rPr>
        <w:t xml:space="preserve"> the existing tools at their disposal, insurers are well-positioned to </w:t>
      </w:r>
      <w:r w:rsidR="00CC58F8">
        <w:rPr>
          <w:sz w:val="24"/>
          <w:szCs w:val="24"/>
        </w:rPr>
        <w:t>properly handle these claims.</w:t>
      </w:r>
    </w:p>
    <w:p w14:paraId="4ED85771" w14:textId="77777777" w:rsidR="00CC58F8" w:rsidRPr="00CC58F8" w:rsidRDefault="00CC58F8">
      <w:pPr>
        <w:jc w:val="both"/>
        <w:rPr>
          <w:b/>
          <w:sz w:val="24"/>
          <w:szCs w:val="24"/>
          <w:u w:val="single"/>
        </w:rPr>
      </w:pPr>
    </w:p>
    <w:sectPr w:rsidR="00CC58F8" w:rsidRPr="00CC58F8" w:rsidSect="00650CB2">
      <w:footerReference w:type="default" r:id="rId11"/>
      <w:headerReference w:type="first" r:id="rId12"/>
      <w:pgSz w:w="12240" w:h="15840" w:code="1"/>
      <w:pgMar w:top="1440" w:right="1440" w:bottom="1440" w:left="1440"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762B" w14:textId="77777777" w:rsidR="001B2F0B" w:rsidRDefault="001B2F0B" w:rsidP="00305285">
      <w:r>
        <w:separator/>
      </w:r>
    </w:p>
  </w:endnote>
  <w:endnote w:type="continuationSeparator" w:id="0">
    <w:p w14:paraId="3254498D" w14:textId="77777777" w:rsidR="001B2F0B" w:rsidRDefault="001B2F0B" w:rsidP="0030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676009365"/>
      <w:docPartObj>
        <w:docPartGallery w:val="Page Numbers (Bottom of Page)"/>
        <w:docPartUnique/>
      </w:docPartObj>
    </w:sdtPr>
    <w:sdtEndPr>
      <w:rPr>
        <w:noProof/>
      </w:rPr>
    </w:sdtEndPr>
    <w:sdtContent>
      <w:p w14:paraId="5824A6D6" w14:textId="43F56BEE" w:rsidR="009442FB" w:rsidRPr="00F131C7" w:rsidRDefault="009442FB">
        <w:pPr>
          <w:pStyle w:val="Footer"/>
          <w:jc w:val="center"/>
          <w:rPr>
            <w:sz w:val="24"/>
            <w:szCs w:val="24"/>
          </w:rPr>
        </w:pPr>
        <w:r w:rsidRPr="00F131C7">
          <w:rPr>
            <w:sz w:val="24"/>
            <w:szCs w:val="24"/>
          </w:rPr>
          <w:fldChar w:fldCharType="begin"/>
        </w:r>
        <w:r w:rsidRPr="00F131C7">
          <w:rPr>
            <w:sz w:val="24"/>
            <w:szCs w:val="24"/>
          </w:rPr>
          <w:instrText xml:space="preserve"> PAGE   \* MERGEFORMAT </w:instrText>
        </w:r>
        <w:r w:rsidRPr="00F131C7">
          <w:rPr>
            <w:sz w:val="24"/>
            <w:szCs w:val="24"/>
          </w:rPr>
          <w:fldChar w:fldCharType="separate"/>
        </w:r>
        <w:r w:rsidR="00E971A9">
          <w:rPr>
            <w:noProof/>
            <w:sz w:val="24"/>
            <w:szCs w:val="24"/>
          </w:rPr>
          <w:t>2</w:t>
        </w:r>
        <w:r w:rsidRPr="00F131C7">
          <w:rPr>
            <w:noProof/>
            <w:sz w:val="24"/>
            <w:szCs w:val="24"/>
          </w:rPr>
          <w:fldChar w:fldCharType="end"/>
        </w:r>
      </w:p>
    </w:sdtContent>
  </w:sdt>
  <w:p w14:paraId="27D86D57" w14:textId="77777777" w:rsidR="009442FB" w:rsidRDefault="00944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2A385" w14:textId="77777777" w:rsidR="001B2F0B" w:rsidRDefault="001B2F0B" w:rsidP="00305285">
      <w:r>
        <w:separator/>
      </w:r>
    </w:p>
  </w:footnote>
  <w:footnote w:type="continuationSeparator" w:id="0">
    <w:p w14:paraId="3898EDB8" w14:textId="77777777" w:rsidR="001B2F0B" w:rsidRDefault="001B2F0B" w:rsidP="00305285">
      <w:r>
        <w:continuationSeparator/>
      </w:r>
    </w:p>
  </w:footnote>
  <w:footnote w:id="1">
    <w:p w14:paraId="072A9AF9" w14:textId="395429A8" w:rsidR="009442FB" w:rsidRPr="00B9018F" w:rsidRDefault="009442FB" w:rsidP="00BD1126">
      <w:pPr>
        <w:pStyle w:val="FootnoteText"/>
        <w:ind w:left="270" w:hanging="270"/>
        <w:jc w:val="both"/>
      </w:pPr>
      <w:r w:rsidRPr="00B9018F">
        <w:rPr>
          <w:rStyle w:val="FootnoteReference"/>
        </w:rPr>
        <w:footnoteRef/>
      </w:r>
      <w:r w:rsidRPr="00B9018F">
        <w:tab/>
        <w:t xml:space="preserve">R. Brent Cooper, </w:t>
      </w:r>
      <w:r w:rsidRPr="00B9018F">
        <w:rPr>
          <w:i/>
        </w:rPr>
        <w:t xml:space="preserve">Hurricanes Katrina and Rita: Effect on Rating and Underwriting, </w:t>
      </w:r>
      <w:r w:rsidRPr="00B9018F">
        <w:rPr>
          <w:i/>
        </w:rPr>
        <w:br/>
        <w:t>IRMI</w:t>
      </w:r>
      <w:r w:rsidRPr="00B9018F">
        <w:t xml:space="preserve">, May 2006, https://www.irmi.com/articles/expert-commentary/hurricanes-katrina-and-rita-effect-on-rating-and-underwriting; </w:t>
      </w:r>
      <w:r w:rsidRPr="00B9018F">
        <w:rPr>
          <w:smallCaps/>
        </w:rPr>
        <w:t xml:space="preserve">National Oceanic and Atmospheric Administration Office for Coastal Management, Hurricane Costs, </w:t>
      </w:r>
      <w:r w:rsidRPr="00B9018F">
        <w:t>https://coast.noaa.gov/states/fast-facts/hurricane-costs.html (last visited September 10, 2019).</w:t>
      </w:r>
    </w:p>
  </w:footnote>
  <w:footnote w:id="2">
    <w:p w14:paraId="3080BD47" w14:textId="425FA5E5" w:rsidR="009442FB" w:rsidRPr="00B9018F" w:rsidRDefault="009442FB" w:rsidP="00BD1126">
      <w:pPr>
        <w:pStyle w:val="FootnoteText"/>
        <w:ind w:left="270" w:hanging="270"/>
        <w:jc w:val="both"/>
      </w:pPr>
      <w:r w:rsidRPr="00B9018F">
        <w:rPr>
          <w:rStyle w:val="FootnoteReference"/>
        </w:rPr>
        <w:footnoteRef/>
      </w:r>
      <w:r w:rsidRPr="00B9018F">
        <w:t xml:space="preserve"> </w:t>
      </w:r>
      <w:r w:rsidRPr="00B9018F">
        <w:tab/>
        <w:t xml:space="preserve">Robert D. Allen et al., </w:t>
      </w:r>
      <w:r w:rsidRPr="00B9018F">
        <w:rPr>
          <w:i/>
        </w:rPr>
        <w:t>Emerging Issues: Global Warming Claims and Coverage Issues</w:t>
      </w:r>
      <w:r w:rsidRPr="00B9018F">
        <w:t xml:space="preserve">, </w:t>
      </w:r>
      <w:r w:rsidRPr="00B9018F">
        <w:rPr>
          <w:smallCaps/>
        </w:rPr>
        <w:t>Defense Counsel Journal</w:t>
      </w:r>
      <w:r w:rsidRPr="00B9018F">
        <w:t>, January 2009, at 15.</w:t>
      </w:r>
    </w:p>
  </w:footnote>
  <w:footnote w:id="3">
    <w:p w14:paraId="12A05A8C" w14:textId="5234EA34" w:rsidR="009442FB" w:rsidRPr="00B9018F" w:rsidRDefault="009442FB" w:rsidP="00BD1126">
      <w:pPr>
        <w:pStyle w:val="FootnoteText"/>
        <w:ind w:left="270" w:hanging="270"/>
        <w:jc w:val="both"/>
      </w:pPr>
      <w:r w:rsidRPr="00B9018F">
        <w:rPr>
          <w:rStyle w:val="FootnoteReference"/>
        </w:rPr>
        <w:footnoteRef/>
      </w:r>
      <w:r w:rsidRPr="00B9018F">
        <w:tab/>
        <w:t xml:space="preserve">Cooper, </w:t>
      </w:r>
      <w:r w:rsidRPr="00B9018F">
        <w:rPr>
          <w:i/>
        </w:rPr>
        <w:t xml:space="preserve">supra </w:t>
      </w:r>
      <w:r w:rsidRPr="00B9018F">
        <w:t>note 1.</w:t>
      </w:r>
    </w:p>
  </w:footnote>
  <w:footnote w:id="4">
    <w:p w14:paraId="6A28044F" w14:textId="5309BBA2" w:rsidR="009442FB" w:rsidRPr="00B9018F" w:rsidRDefault="009442FB" w:rsidP="00BD1126">
      <w:pPr>
        <w:pStyle w:val="FootnoteText"/>
        <w:ind w:left="270" w:hanging="270"/>
        <w:jc w:val="both"/>
      </w:pPr>
      <w:r w:rsidRPr="00B9018F">
        <w:rPr>
          <w:rStyle w:val="FootnoteReference"/>
        </w:rPr>
        <w:footnoteRef/>
      </w:r>
      <w:r w:rsidRPr="00B9018F">
        <w:tab/>
        <w:t xml:space="preserve">Hurricane Costs, </w:t>
      </w:r>
      <w:r w:rsidRPr="00B9018F">
        <w:rPr>
          <w:i/>
        </w:rPr>
        <w:t>supra</w:t>
      </w:r>
      <w:r w:rsidRPr="00B9018F">
        <w:t xml:space="preserve"> note 1.</w:t>
      </w:r>
    </w:p>
  </w:footnote>
  <w:footnote w:id="5">
    <w:p w14:paraId="16FD2FBA" w14:textId="663BDC03" w:rsidR="009442FB" w:rsidRPr="00B9018F" w:rsidRDefault="009442FB" w:rsidP="00BD1126">
      <w:pPr>
        <w:pStyle w:val="FootnoteText"/>
        <w:ind w:left="270" w:hanging="270"/>
        <w:jc w:val="both"/>
      </w:pPr>
      <w:r w:rsidRPr="00B9018F">
        <w:rPr>
          <w:rStyle w:val="FootnoteReference"/>
        </w:rPr>
        <w:footnoteRef/>
      </w:r>
      <w:r w:rsidRPr="00B9018F">
        <w:tab/>
      </w:r>
      <w:r w:rsidRPr="00B9018F">
        <w:t xml:space="preserve">Geetanjali Ganguly, </w:t>
      </w:r>
      <w:r w:rsidRPr="00B9018F">
        <w:rPr>
          <w:i/>
        </w:rPr>
        <w:t>If at First You Don’t Succeed: Suing Corporations for Climate Change</w:t>
      </w:r>
      <w:r w:rsidRPr="00B9018F">
        <w:t xml:space="preserve">, 38 </w:t>
      </w:r>
      <w:r w:rsidRPr="00B9018F">
        <w:rPr>
          <w:smallCaps/>
        </w:rPr>
        <w:t>Oxford J. Legal Stud.</w:t>
      </w:r>
      <w:r w:rsidRPr="00B9018F">
        <w:t xml:space="preserve"> 841, 843 (2018), </w:t>
      </w:r>
      <w:r w:rsidRPr="00B9018F">
        <w:rPr>
          <w:i/>
        </w:rPr>
        <w:t xml:space="preserve">available at </w:t>
      </w:r>
      <w:r w:rsidRPr="00B9018F">
        <w:t>https://academic.oup.com/ojls/article/38/4/841/5140101.</w:t>
      </w:r>
    </w:p>
  </w:footnote>
  <w:footnote w:id="6">
    <w:p w14:paraId="5DE557CE" w14:textId="7657642E"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w:t>
      </w:r>
    </w:p>
  </w:footnote>
  <w:footnote w:id="7">
    <w:p w14:paraId="422FD159" w14:textId="4FB7C5C9" w:rsidR="009442FB" w:rsidRPr="00B9018F" w:rsidRDefault="009442FB" w:rsidP="00BD1126">
      <w:pPr>
        <w:pStyle w:val="FootnoteText"/>
        <w:ind w:left="270" w:hanging="270"/>
        <w:jc w:val="both"/>
      </w:pPr>
      <w:r w:rsidRPr="00B9018F">
        <w:rPr>
          <w:rStyle w:val="FootnoteReference"/>
        </w:rPr>
        <w:footnoteRef/>
      </w:r>
      <w:r w:rsidRPr="00B9018F">
        <w:tab/>
        <w:t xml:space="preserve">This paper references various provisions that are contained within standard form policies. We emphasize, however, that although examination of this language is useful for developing a broad understanding of these issues, insurers should rely on the terms and conditions of the policy applicable to a particular claim. Manuscript policies and policies issued by surplus lines insurers, in particular, may contain significantly different language than that used in standard forms. </w:t>
      </w:r>
    </w:p>
  </w:footnote>
  <w:footnote w:id="8">
    <w:p w14:paraId="65D57B18" w14:textId="33939C38" w:rsidR="009442FB" w:rsidRPr="00B9018F" w:rsidRDefault="009442FB" w:rsidP="00BD1126">
      <w:pPr>
        <w:pStyle w:val="FootnoteText"/>
        <w:ind w:left="270" w:hanging="270"/>
        <w:jc w:val="both"/>
      </w:pPr>
      <w:r w:rsidRPr="00B9018F">
        <w:rPr>
          <w:rStyle w:val="FootnoteReference"/>
        </w:rPr>
        <w:footnoteRef/>
      </w:r>
      <w:r w:rsidRPr="00B9018F">
        <w:tab/>
        <w:t>CGL and EIL policies typically define “bodily injury” as physical injury, sickness, disease, mental anguish, or emotional distress sustain by an</w:t>
      </w:r>
      <w:r w:rsidR="00DF4698">
        <w:t>y</w:t>
      </w:r>
      <w:r w:rsidRPr="00B9018F">
        <w:t xml:space="preserve"> person, including death.</w:t>
      </w:r>
    </w:p>
  </w:footnote>
  <w:footnote w:id="9">
    <w:p w14:paraId="6F11C2F2" w14:textId="4CF944C6" w:rsidR="009442FB" w:rsidRPr="00B9018F" w:rsidRDefault="009442FB" w:rsidP="00BD1126">
      <w:pPr>
        <w:pStyle w:val="FootnoteText"/>
        <w:ind w:left="270" w:hanging="270"/>
        <w:jc w:val="both"/>
      </w:pPr>
      <w:r w:rsidRPr="00B9018F">
        <w:rPr>
          <w:rStyle w:val="FootnoteReference"/>
        </w:rPr>
        <w:footnoteRef/>
      </w:r>
      <w:r w:rsidRPr="00B9018F">
        <w:tab/>
        <w:t>CGL and EIL policies typically define “property damage” as physical injury to tangible property, including all resulting loss of use of that property, and loss of use of tangible property that is not physically injured.</w:t>
      </w:r>
    </w:p>
  </w:footnote>
  <w:footnote w:id="10">
    <w:p w14:paraId="27390F93" w14:textId="2A26BEA6" w:rsidR="009442FB" w:rsidRPr="00B9018F" w:rsidRDefault="009442FB" w:rsidP="00BD1126">
      <w:pPr>
        <w:pStyle w:val="FootnoteText"/>
        <w:ind w:left="270" w:hanging="270"/>
        <w:jc w:val="both"/>
      </w:pPr>
      <w:r w:rsidRPr="00B9018F">
        <w:rPr>
          <w:rStyle w:val="FootnoteReference"/>
        </w:rPr>
        <w:footnoteRef/>
      </w:r>
      <w:r w:rsidR="00DF4698">
        <w:tab/>
        <w:t>EIL policies</w:t>
      </w:r>
      <w:r w:rsidRPr="00B9018F">
        <w:t xml:space="preserve"> typically define “pollution condition” as the discharge, dispersal, seepage, migration, release</w:t>
      </w:r>
      <w:r w:rsidR="00DF4698">
        <w:t>,</w:t>
      </w:r>
      <w:r w:rsidRPr="00B9018F">
        <w:t xml:space="preserve"> or escape of “pollutants</w:t>
      </w:r>
      <w:r w:rsidR="00DF4698">
        <w:t>,</w:t>
      </w:r>
      <w:r w:rsidRPr="00B9018F">
        <w:t xml:space="preserve">” which are usually defined as “any solid, liquid, gaseous, biological or thermal irritants or contaminants, including but not limited to smoke, vapors, soot, fumes, acids, alkalis, chemicals, hazardous substances, petroleum hydrocarbons, waste materials, including medical, infectious and pathological waste, legionella pneumophilia, electromagnetic fields, ‘lower-level </w:t>
      </w:r>
      <w:r w:rsidRPr="00B9018F">
        <w:t xml:space="preserve">radiotactive waste’ and ‘mixed waste’ materials, at levels in excess of those naturally occurring. Waste includes materials to be recycled, reconditioned or reclaimed.” </w:t>
      </w:r>
    </w:p>
  </w:footnote>
  <w:footnote w:id="11">
    <w:p w14:paraId="341B74DF" w14:textId="6A10FCE9" w:rsidR="009442FB" w:rsidRPr="00B9018F" w:rsidRDefault="009442FB" w:rsidP="00BD1126">
      <w:pPr>
        <w:pStyle w:val="FootnoteText"/>
        <w:ind w:left="270" w:hanging="270"/>
        <w:jc w:val="both"/>
      </w:pPr>
      <w:r w:rsidRPr="00B9018F">
        <w:rPr>
          <w:rStyle w:val="FootnoteReference"/>
        </w:rPr>
        <w:footnoteRef/>
      </w:r>
      <w:r w:rsidRPr="00B9018F">
        <w:tab/>
        <w:t xml:space="preserve">“Article III, § 2, of the Constitution limits the federal judicial power to the adjudication of ‘Cases’ and ‘Controversies.’ If a dispute is not a proper case or controversy, the courts have no business deciding it, or expounding the law in the course of doing so. Standing to sue is part of the common understanding of what it takes to make a justiciable case.” Massachusetts v. E.P.A., 549 U.S. 497, 535 (2007) (Roberts, Scalia, Thomas, and Alito, </w:t>
      </w:r>
      <w:r w:rsidRPr="00B9018F">
        <w:t>JJ., dissenting).</w:t>
      </w:r>
    </w:p>
  </w:footnote>
  <w:footnote w:id="12">
    <w:p w14:paraId="1AF6138D" w14:textId="61086BDB"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See id.</w:t>
      </w:r>
      <w:r w:rsidRPr="00B9018F">
        <w:t xml:space="preserve"> (“Apparently dissatisfied with the pace of progress on this issue in the elected branches, petitioners have come to the courts claiming broad-ranging injury, and attempting to tie that injury to the Government’s alleged failure to comply with a rather narrow statutory provision. I would reject these challenges as </w:t>
      </w:r>
      <w:r w:rsidRPr="00B9018F">
        <w:t xml:space="preserve">nonjusticiable. Such a conclusion involves no judgment on whether global warming exists, what causes it, or the extent of the problem. Nor does it render petitioners without recourse. This Court’s standing jurisprudence simply recognizes that redress of grievances of the sort at issue here ‘is the function of Congress and the Chief Executive,’ not the federal courts.”); </w:t>
      </w:r>
      <w:r w:rsidRPr="00B9018F">
        <w:rPr>
          <w:i/>
        </w:rPr>
        <w:t xml:space="preserve">see </w:t>
      </w:r>
      <w:r w:rsidRPr="00B9018F">
        <w:t xml:space="preserve">People of State of California v. Gen. Motors Corp., No. C06-05755 MJJ, 2007 WL 2726871 (N.D. Cal. Sept. 17, 2007); </w:t>
      </w:r>
      <w:r w:rsidRPr="00B9018F">
        <w:rPr>
          <w:i/>
        </w:rPr>
        <w:t>see</w:t>
      </w:r>
      <w:r w:rsidRPr="00B9018F">
        <w:t xml:space="preserve"> Native Vill. of Kivalina v. ExxonMobil Corp., 696 F.3d 849 (9th Cir. 2012); </w:t>
      </w:r>
      <w:r w:rsidRPr="00B9018F">
        <w:rPr>
          <w:i/>
        </w:rPr>
        <w:t xml:space="preserve">see </w:t>
      </w:r>
      <w:r w:rsidRPr="00B9018F">
        <w:t>Comer v. Murphy Oil USA, 607 F.3d 1049 (5th Cir. 2010).</w:t>
      </w:r>
    </w:p>
  </w:footnote>
  <w:footnote w:id="13">
    <w:p w14:paraId="10EB7F82" w14:textId="77777777"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Massachusetts</w:t>
      </w:r>
      <w:r w:rsidRPr="00B9018F">
        <w:t>, 549 U.S. at 497.</w:t>
      </w:r>
    </w:p>
  </w:footnote>
  <w:footnote w:id="14">
    <w:p w14:paraId="7C87B671" w14:textId="1D01544F"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at 520.</w:t>
      </w:r>
    </w:p>
  </w:footnote>
  <w:footnote w:id="15">
    <w:p w14:paraId="55B651C4" w14:textId="33A183E8" w:rsidR="00877F88" w:rsidRPr="00B9018F" w:rsidRDefault="00877F88" w:rsidP="00BD1126">
      <w:pPr>
        <w:pStyle w:val="FootnoteText"/>
        <w:ind w:left="270" w:hanging="270"/>
        <w:jc w:val="both"/>
      </w:pPr>
      <w:r w:rsidRPr="00B9018F">
        <w:rPr>
          <w:rStyle w:val="FootnoteReference"/>
        </w:rPr>
        <w:footnoteRef/>
      </w:r>
      <w:r w:rsidR="00E54AF3">
        <w:tab/>
      </w:r>
      <w:r w:rsidR="00E54AF3" w:rsidRPr="00E54AF3">
        <w:t>Connecticut v. Am. Elec. Power Co.,</w:t>
      </w:r>
      <w:r w:rsidR="00E54AF3">
        <w:t xml:space="preserve"> </w:t>
      </w:r>
      <w:r w:rsidRPr="00B9018F">
        <w:t xml:space="preserve">582 F.3d 309 (2d Cir. 2009), </w:t>
      </w:r>
      <w:r w:rsidRPr="00B9018F">
        <w:rPr>
          <w:i/>
        </w:rPr>
        <w:t>rev’d on other grounds</w:t>
      </w:r>
      <w:r w:rsidRPr="00B9018F">
        <w:t xml:space="preserve">, 564 U.S. 410 (2011); </w:t>
      </w:r>
      <w:r w:rsidRPr="00B9018F">
        <w:rPr>
          <w:i/>
        </w:rPr>
        <w:t xml:space="preserve">see </w:t>
      </w:r>
      <w:r w:rsidR="0086447C">
        <w:rPr>
          <w:i/>
        </w:rPr>
        <w:t>Connecticut</w:t>
      </w:r>
      <w:r w:rsidR="0086447C">
        <w:t>,</w:t>
      </w:r>
      <w:r w:rsidR="0086447C">
        <w:rPr>
          <w:i/>
        </w:rPr>
        <w:t xml:space="preserve"> </w:t>
      </w:r>
      <w:r w:rsidRPr="00B9018F">
        <w:t>564 U.S. at 411-14 (citing preemption of federal statute)</w:t>
      </w:r>
      <w:r w:rsidR="00E54AF3">
        <w:t>.</w:t>
      </w:r>
    </w:p>
  </w:footnote>
  <w:footnote w:id="16">
    <w:p w14:paraId="65BF95EC" w14:textId="57442245"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Connecticut</w:t>
      </w:r>
      <w:r w:rsidRPr="00B9018F">
        <w:t xml:space="preserve">, 582 F.3d at 319. </w:t>
      </w:r>
    </w:p>
  </w:footnote>
  <w:footnote w:id="17">
    <w:p w14:paraId="066731F4" w14:textId="745B9AD9"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at 334.</w:t>
      </w:r>
    </w:p>
  </w:footnote>
  <w:footnote w:id="18">
    <w:p w14:paraId="359011BD" w14:textId="6F141FE5"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xml:space="preserve">. at 339 (citing Lujan v. </w:t>
      </w:r>
      <w:r w:rsidRPr="00B9018F">
        <w:t>Defs. of Wildlife, 504 U.S. 555, 560 (1992)</w:t>
      </w:r>
      <w:r w:rsidR="00E54AF3">
        <w:t>)</w:t>
      </w:r>
      <w:r w:rsidRPr="00B9018F">
        <w:rPr>
          <w:i/>
        </w:rPr>
        <w:t xml:space="preserve"> </w:t>
      </w:r>
      <w:r w:rsidRPr="00B9018F">
        <w:t xml:space="preserve">(cleaned up). </w:t>
      </w:r>
    </w:p>
  </w:footnote>
  <w:footnote w:id="19">
    <w:p w14:paraId="4EF54F48" w14:textId="5DD3B12B"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 xml:space="preserve">See generally id. </w:t>
      </w:r>
      <w:r w:rsidRPr="00B9018F">
        <w:t>at 332-49</w:t>
      </w:r>
      <w:r w:rsidRPr="00B9018F">
        <w:rPr>
          <w:i/>
        </w:rPr>
        <w:t xml:space="preserve"> </w:t>
      </w:r>
      <w:r w:rsidRPr="00B9018F">
        <w:t>(outlining the basis for the court’s holding on standing).</w:t>
      </w:r>
    </w:p>
  </w:footnote>
  <w:footnote w:id="20">
    <w:p w14:paraId="1EFC3223" w14:textId="0E0F6D97" w:rsidR="009442FB" w:rsidRPr="00B9018F" w:rsidRDefault="009442FB" w:rsidP="00BD1126">
      <w:pPr>
        <w:pStyle w:val="FootnoteText"/>
        <w:ind w:left="270" w:hanging="270"/>
        <w:jc w:val="both"/>
      </w:pPr>
      <w:r w:rsidRPr="00B9018F">
        <w:rPr>
          <w:rStyle w:val="FootnoteReference"/>
        </w:rPr>
        <w:footnoteRef/>
      </w:r>
      <w:r w:rsidRPr="00B9018F">
        <w:tab/>
      </w:r>
      <w:r w:rsidR="00E54AF3" w:rsidRPr="00E54AF3">
        <w:t>Nw. Envtl. Def. Ctr. v. Owens Corning Corp</w:t>
      </w:r>
      <w:r w:rsidR="00E54AF3">
        <w:t xml:space="preserve">., </w:t>
      </w:r>
      <w:r w:rsidRPr="00B9018F">
        <w:t>434 F. Supp.2d 957 (D. Or. 2006)</w:t>
      </w:r>
      <w:r w:rsidR="00E54AF3">
        <w:t>.</w:t>
      </w:r>
    </w:p>
  </w:footnote>
  <w:footnote w:id="21">
    <w:p w14:paraId="6802D9FE" w14:textId="39572746"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xml:space="preserve">. </w:t>
      </w:r>
    </w:p>
  </w:footnote>
  <w:footnote w:id="22">
    <w:p w14:paraId="1BEC7029" w14:textId="29E94BBD"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xml:space="preserve">. </w:t>
      </w:r>
    </w:p>
  </w:footnote>
  <w:footnote w:id="23">
    <w:p w14:paraId="64B32FA9" w14:textId="3D99E6E0"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at 971.</w:t>
      </w:r>
    </w:p>
  </w:footnote>
  <w:footnote w:id="24">
    <w:p w14:paraId="721BC703" w14:textId="77777777" w:rsidR="009442FB" w:rsidRPr="00B9018F" w:rsidRDefault="009442FB" w:rsidP="00BD1126">
      <w:pPr>
        <w:pStyle w:val="FootnoteText"/>
        <w:ind w:left="270" w:hanging="270"/>
        <w:jc w:val="both"/>
      </w:pPr>
      <w:r w:rsidRPr="00B9018F">
        <w:rPr>
          <w:rStyle w:val="FootnoteReference"/>
        </w:rPr>
        <w:footnoteRef/>
      </w:r>
      <w:r w:rsidRPr="00B9018F">
        <w:tab/>
        <w:t xml:space="preserve">Complaint at 7, Juliana, et al. v. United States, et al., No. 6:15-cv-01517 (D. Or. Aug. 12, 2015). </w:t>
      </w:r>
    </w:p>
  </w:footnote>
  <w:footnote w:id="25">
    <w:p w14:paraId="2EAEA963" w14:textId="77777777" w:rsidR="009442FB" w:rsidRPr="00B9018F" w:rsidRDefault="009442FB" w:rsidP="00BD1126">
      <w:pPr>
        <w:pStyle w:val="FootnoteText"/>
        <w:ind w:left="270" w:hanging="270"/>
        <w:jc w:val="both"/>
      </w:pPr>
      <w:r w:rsidRPr="00B9018F">
        <w:rPr>
          <w:rStyle w:val="FootnoteReference"/>
        </w:rPr>
        <w:footnoteRef/>
      </w:r>
      <w:r w:rsidRPr="00B9018F">
        <w:tab/>
        <w:t>Juliana v. United States, 217 F. Supp.3d 1224, 1262-63 (D. Or. 2016).</w:t>
      </w:r>
    </w:p>
  </w:footnote>
  <w:footnote w:id="26">
    <w:p w14:paraId="1ED14FBC" w14:textId="632831C6" w:rsidR="003B2010" w:rsidRPr="00B9018F" w:rsidRDefault="009442FB" w:rsidP="00BD1126">
      <w:pPr>
        <w:pStyle w:val="FootnoteText"/>
        <w:ind w:left="270" w:hanging="270"/>
        <w:jc w:val="both"/>
      </w:pPr>
      <w:r w:rsidRPr="00B9018F">
        <w:rPr>
          <w:rStyle w:val="FootnoteReference"/>
        </w:rPr>
        <w:footnoteRef/>
      </w:r>
      <w:r w:rsidRPr="00B9018F">
        <w:tab/>
        <w:t xml:space="preserve">Robert Barnes &amp; Brady Dennis, </w:t>
      </w:r>
      <w:r w:rsidRPr="00B9018F">
        <w:rPr>
          <w:i/>
        </w:rPr>
        <w:t>Supreme Court Refuses to Block Young People’s Climate Lawsuit Against U.S. Government</w:t>
      </w:r>
      <w:r w:rsidRPr="00B9018F">
        <w:t xml:space="preserve">, </w:t>
      </w:r>
      <w:r w:rsidRPr="00B9018F">
        <w:rPr>
          <w:smallCaps/>
        </w:rPr>
        <w:t>The Washington Post</w:t>
      </w:r>
      <w:r w:rsidRPr="00B9018F">
        <w:t xml:space="preserve">, Nov. 2, 2018, </w:t>
      </w:r>
      <w:r w:rsidRPr="00B9018F">
        <w:rPr>
          <w:i/>
        </w:rPr>
        <w:t>available at</w:t>
      </w:r>
      <w:r w:rsidRPr="00B9018F">
        <w:t xml:space="preserve"> </w:t>
      </w:r>
      <w:r w:rsidR="00794F45" w:rsidRPr="00794F45">
        <w:t>https://www.washingtonpost.com</w:t>
      </w:r>
      <w:r w:rsidR="00794F45" w:rsidRPr="00794F45">
        <w:br/>
        <w:t>/politics/courts_law/supreme-court-refuses-to-block-kids-climate-lawsuit-against-us-</w:t>
      </w:r>
      <w:r w:rsidR="00C93C31">
        <w:t>government/2018/11/02/‌</w:t>
      </w:r>
      <w:r w:rsidR="00794F45" w:rsidRPr="00794F45">
        <w:t>34bd7ee6-d7af-11e8-83a2-d1c3da28d6b6_story.html?arc404=true.</w:t>
      </w:r>
    </w:p>
  </w:footnote>
  <w:footnote w:id="27">
    <w:p w14:paraId="483744EE" w14:textId="4CFBAA60" w:rsidR="009442FB" w:rsidRPr="00B9018F" w:rsidRDefault="009442FB" w:rsidP="00BD1126">
      <w:pPr>
        <w:pStyle w:val="FootnoteText"/>
        <w:ind w:left="270" w:hanging="270"/>
        <w:jc w:val="both"/>
      </w:pPr>
      <w:r w:rsidRPr="00B9018F">
        <w:rPr>
          <w:rStyle w:val="FootnoteReference"/>
        </w:rPr>
        <w:footnoteRef/>
      </w:r>
      <w:r w:rsidRPr="00B9018F">
        <w:tab/>
        <w:t xml:space="preserve">Comer v. Nationwide </w:t>
      </w:r>
      <w:r w:rsidRPr="00B9018F">
        <w:t>Mut. Ins., No. 1:05 CV 436 LTD RHW, 2006 WL 1066645, at *4 (S.D. Miss. Feb. 23, 2006).</w:t>
      </w:r>
    </w:p>
  </w:footnote>
  <w:footnote w:id="28">
    <w:p w14:paraId="1B43B5DE" w14:textId="7640AB9E" w:rsidR="009442FB" w:rsidRPr="00B9018F" w:rsidRDefault="009442FB" w:rsidP="00BD1126">
      <w:pPr>
        <w:pStyle w:val="FootnoteText"/>
        <w:ind w:left="270" w:hanging="270"/>
        <w:jc w:val="both"/>
      </w:pPr>
      <w:r w:rsidRPr="00B9018F">
        <w:rPr>
          <w:rStyle w:val="FootnoteReference"/>
        </w:rPr>
        <w:footnoteRef/>
      </w:r>
      <w:r w:rsidRPr="00B9018F">
        <w:tab/>
        <w:t xml:space="preserve">In 2014, </w:t>
      </w:r>
      <w:r w:rsidRPr="00B9018F">
        <w:rPr>
          <w:i/>
        </w:rPr>
        <w:t xml:space="preserve">Climate Change </w:t>
      </w:r>
      <w:r w:rsidRPr="00B9018F">
        <w:t xml:space="preserve">published a study that calculated a percentage figure for the individual contribution of various major polluters with respect to more than two-thirds of all anthropogenic climate change. That study also showed that more than half of those polluters’ total contribution to climate change was after 1988, further dissolving the difficulties in tracing the roots of climate change injury. </w:t>
      </w:r>
      <w:r w:rsidRPr="00B9018F">
        <w:rPr>
          <w:i/>
        </w:rPr>
        <w:t xml:space="preserve">See generally </w:t>
      </w:r>
      <w:r w:rsidRPr="00B9018F">
        <w:t xml:space="preserve">Richard </w:t>
      </w:r>
      <w:r w:rsidRPr="00B9018F">
        <w:t xml:space="preserve">Heede, </w:t>
      </w:r>
      <w:r w:rsidRPr="00B9018F">
        <w:rPr>
          <w:i/>
        </w:rPr>
        <w:t>Tracing Anthropogenic Carbon Dioxide and Methane Emissions to Fossil Fuel and Cement Producers, 1854-2010</w:t>
      </w:r>
      <w:r w:rsidRPr="00B9018F">
        <w:t xml:space="preserve">, 122 </w:t>
      </w:r>
      <w:r w:rsidRPr="00B9018F">
        <w:rPr>
          <w:smallCaps/>
        </w:rPr>
        <w:t>Climate Change</w:t>
      </w:r>
      <w:r w:rsidRPr="00B9018F">
        <w:t xml:space="preserve"> 229 (2014).</w:t>
      </w:r>
    </w:p>
  </w:footnote>
  <w:footnote w:id="29">
    <w:p w14:paraId="23FC22B8" w14:textId="7B96245B" w:rsidR="009442FB" w:rsidRPr="00B9018F" w:rsidRDefault="009442FB" w:rsidP="00BD1126">
      <w:pPr>
        <w:pStyle w:val="FootnoteText"/>
        <w:ind w:left="270" w:hanging="270"/>
        <w:jc w:val="both"/>
      </w:pPr>
      <w:r w:rsidRPr="00B9018F">
        <w:rPr>
          <w:rStyle w:val="FootnoteReference"/>
        </w:rPr>
        <w:footnoteRef/>
      </w:r>
      <w:r w:rsidRPr="00B9018F">
        <w:tab/>
      </w:r>
      <w:r w:rsidR="00C93C31">
        <w:rPr>
          <w:i/>
        </w:rPr>
        <w:t>See, e.g.</w:t>
      </w:r>
      <w:r w:rsidR="00C93C31">
        <w:t xml:space="preserve">, </w:t>
      </w:r>
      <w:r w:rsidRPr="00B9018F">
        <w:t>Lohrmann v. Pittsburgh Corning Corp., 782 F</w:t>
      </w:r>
      <w:r w:rsidR="00C93C31">
        <w:t>.2d 1156 (4th Cir. 1986).</w:t>
      </w:r>
    </w:p>
  </w:footnote>
  <w:footnote w:id="30">
    <w:p w14:paraId="23A8AEA1" w14:textId="00DB80A6" w:rsidR="009442FB" w:rsidRPr="00B9018F" w:rsidRDefault="009442FB" w:rsidP="00BD1126">
      <w:pPr>
        <w:pStyle w:val="FootnoteText"/>
        <w:ind w:left="270" w:hanging="270"/>
        <w:jc w:val="both"/>
      </w:pPr>
      <w:r w:rsidRPr="00B9018F">
        <w:rPr>
          <w:rStyle w:val="FootnoteReference"/>
        </w:rPr>
        <w:footnoteRef/>
      </w:r>
      <w:r w:rsidRPr="00B9018F">
        <w:t xml:space="preserve"> </w:t>
      </w:r>
      <w:r w:rsidRPr="00B9018F">
        <w:tab/>
      </w:r>
      <w:r w:rsidR="00C93C31" w:rsidRPr="00C93C31">
        <w:t>U.S. Fid. &amp; Guar. Co. v. T.K. Stanley, Inc.</w:t>
      </w:r>
      <w:r w:rsidR="00C93C31">
        <w:t xml:space="preserve">, </w:t>
      </w:r>
      <w:r w:rsidRPr="00B9018F">
        <w:t xml:space="preserve">764 F. Supp. 81 (S.D. Miss. 1991)); </w:t>
      </w:r>
      <w:r w:rsidRPr="00B9018F">
        <w:rPr>
          <w:i/>
        </w:rPr>
        <w:t xml:space="preserve">see also </w:t>
      </w:r>
      <w:r w:rsidRPr="00B9018F">
        <w:t xml:space="preserve">Sheehan Constr. Co., Inc. v. Continental Cas. Co., 935 N.E.2d 160 (Ind. 2010); </w:t>
      </w:r>
      <w:r w:rsidRPr="00B9018F">
        <w:rPr>
          <w:i/>
        </w:rPr>
        <w:t xml:space="preserve">see also </w:t>
      </w:r>
      <w:r w:rsidRPr="00B9018F">
        <w:t>Navigators Specialty Ins. Co. v. Moorefield Constr., Inc., 6 Cal. App. 5th 1258, 1278 (Cal. Ct. App. 2016) (finding no coverage for damage to concrete slab where insured made intentional decision to install tiles that exceed moisture vapor emission rate as such intentional conduct did not constitute an accident).</w:t>
      </w:r>
    </w:p>
  </w:footnote>
  <w:footnote w:id="31">
    <w:p w14:paraId="72551463" w14:textId="189C96E0" w:rsidR="009442FB" w:rsidRPr="00B9018F" w:rsidRDefault="009442FB" w:rsidP="00BD1126">
      <w:pPr>
        <w:pStyle w:val="FootnoteText"/>
        <w:ind w:left="270" w:hanging="270"/>
        <w:jc w:val="both"/>
      </w:pPr>
      <w:r w:rsidRPr="00B9018F">
        <w:rPr>
          <w:rStyle w:val="FootnoteReference"/>
        </w:rPr>
        <w:footnoteRef/>
      </w:r>
      <w:r w:rsidRPr="00B9018F">
        <w:tab/>
      </w:r>
      <w:r w:rsidRPr="00B9018F">
        <w:rPr>
          <w:i/>
          <w:color w:val="000000"/>
        </w:rPr>
        <w:t>T.K. Stanley</w:t>
      </w:r>
      <w:r w:rsidRPr="00B9018F">
        <w:rPr>
          <w:color w:val="000000"/>
        </w:rPr>
        <w:t xml:space="preserve">, 764 F. Supp. at 81. </w:t>
      </w:r>
    </w:p>
  </w:footnote>
  <w:footnote w:id="32">
    <w:p w14:paraId="3671645A" w14:textId="5B9C1237"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w:t>
      </w:r>
    </w:p>
  </w:footnote>
  <w:footnote w:id="33">
    <w:p w14:paraId="5D1D7E58" w14:textId="1108F752"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at 84.</w:t>
      </w:r>
    </w:p>
  </w:footnote>
  <w:footnote w:id="34">
    <w:p w14:paraId="0645677B" w14:textId="16941BDA"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at 82-84.</w:t>
      </w:r>
    </w:p>
  </w:footnote>
  <w:footnote w:id="35">
    <w:p w14:paraId="54046B9E" w14:textId="4E06D6DF"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 xml:space="preserve">See </w:t>
      </w:r>
      <w:r w:rsidRPr="00B9018F">
        <w:t xml:space="preserve">Mid-Century Ins. Co. of Tex. v. Lindsey, 997 S.W.2d 153, 155 (Tex. 1999) (holding that injury or damage is “accidental” if, from the viewpoint of the insured, the damage is not the natural and probable consequence of the action or occurrence which produced the damage); </w:t>
      </w:r>
      <w:r w:rsidRPr="00B9018F">
        <w:rPr>
          <w:i/>
        </w:rPr>
        <w:t xml:space="preserve">see </w:t>
      </w:r>
      <w:r w:rsidRPr="00B9018F">
        <w:t xml:space="preserve">State Farm Fire &amp; Casualty Co. v. CTC Dev. Corp., 720 So. 2d 1072, 1076 (Fla. 1998) (finding the term “accident” encompasses not only accidental events but also injuries or damages neither expected nor intended from the standpoint of the insured; thus, unintentional or unexpected injury or damage from the insured’s intentional acts is an accident); </w:t>
      </w:r>
      <w:r w:rsidRPr="00B9018F">
        <w:rPr>
          <w:i/>
        </w:rPr>
        <w:t xml:space="preserve">see </w:t>
      </w:r>
      <w:r w:rsidRPr="00B9018F">
        <w:t>High Country Associates v. New Hampshire Ins. Co., 647 So. 2d 474 (</w:t>
      </w:r>
      <w:r w:rsidRPr="00B9018F">
        <w:t xml:space="preserve">N.H. 1994) (finding an “accident” means “circumstances, not necessarily a sudden and identifiable event, that were unexpected or unintended from the standpoint of the insured”); </w:t>
      </w:r>
      <w:r w:rsidRPr="00B9018F">
        <w:rPr>
          <w:i/>
        </w:rPr>
        <w:t xml:space="preserve">see </w:t>
      </w:r>
      <w:r w:rsidRPr="00B9018F">
        <w:t xml:space="preserve">Med. Malpractice Joint Underwriting Ass’n of Rhode Island v. Charlesgate Nursing Ctr., L.P., 135 A.3d 998, 1005 (R.I. 2015) (“The plain and ordinary meaning of the term ‘accident’ as ‘an unintended and unforeseen injurious occurrence’ from the perspective of the insureds”); </w:t>
      </w:r>
      <w:r w:rsidRPr="00B9018F">
        <w:rPr>
          <w:i/>
        </w:rPr>
        <w:t xml:space="preserve">see </w:t>
      </w:r>
      <w:r w:rsidRPr="00B9018F">
        <w:t>Lee Builders, Inc v. Farm Bureau Mut. Ins. Co., 137 P.3d 486 (Kan. 2006) (finding an occurrence is “an undersigned, sudden and unexpected event, usually of an afflictive or unfortunate nature” and the dispositive issues is “whether the resulting damage, not the act performed that led to the damage was intentionally caused by the insured.”).</w:t>
      </w:r>
    </w:p>
  </w:footnote>
  <w:footnote w:id="36">
    <w:p w14:paraId="5B848F9B" w14:textId="4F61AC69" w:rsidR="009442FB" w:rsidRPr="00B9018F" w:rsidRDefault="009442FB" w:rsidP="00BD1126">
      <w:pPr>
        <w:pStyle w:val="FootnoteText"/>
        <w:ind w:left="270" w:hanging="270"/>
        <w:jc w:val="both"/>
      </w:pPr>
      <w:r w:rsidRPr="00B9018F">
        <w:rPr>
          <w:rStyle w:val="FootnoteReference"/>
        </w:rPr>
        <w:footnoteRef/>
      </w:r>
      <w:r w:rsidRPr="00B9018F">
        <w:t xml:space="preserve"> </w:t>
      </w:r>
      <w:r w:rsidRPr="00B9018F">
        <w:tab/>
      </w:r>
      <w:r w:rsidR="004A2C25" w:rsidRPr="004A2C25">
        <w:rPr>
          <w:i/>
        </w:rPr>
        <w:t>Lindsey</w:t>
      </w:r>
      <w:r w:rsidR="004A2C25">
        <w:t xml:space="preserve">, </w:t>
      </w:r>
      <w:r w:rsidR="004A2C25" w:rsidRPr="004A2C25">
        <w:t>997</w:t>
      </w:r>
      <w:r w:rsidR="004A2C25" w:rsidRPr="00B9018F">
        <w:t xml:space="preserve"> S.W.2d at </w:t>
      </w:r>
      <w:r w:rsidRPr="00B9018F">
        <w:rPr>
          <w:color w:val="000000"/>
        </w:rPr>
        <w:t>154.</w:t>
      </w:r>
    </w:p>
  </w:footnote>
  <w:footnote w:id="37">
    <w:p w14:paraId="41A1E1A6" w14:textId="00FCC0AB"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w:t>
      </w:r>
    </w:p>
  </w:footnote>
  <w:footnote w:id="38">
    <w:p w14:paraId="1B876BE0" w14:textId="0A64FE22" w:rsidR="009442FB" w:rsidRPr="00B9018F" w:rsidRDefault="009442FB" w:rsidP="00BD1126">
      <w:pPr>
        <w:pStyle w:val="FootnoteText"/>
        <w:ind w:left="270" w:hanging="270"/>
        <w:jc w:val="both"/>
      </w:pPr>
      <w:r w:rsidRPr="00B9018F">
        <w:rPr>
          <w:rStyle w:val="FootnoteReference"/>
        </w:rPr>
        <w:footnoteRef/>
      </w:r>
      <w:r w:rsidRPr="00B9018F">
        <w:tab/>
      </w:r>
      <w:r w:rsidRPr="00B9018F">
        <w:rPr>
          <w:i/>
          <w:color w:val="000000"/>
        </w:rPr>
        <w:t xml:space="preserve">Id. </w:t>
      </w:r>
      <w:r w:rsidRPr="00B9018F">
        <w:rPr>
          <w:color w:val="000000"/>
        </w:rPr>
        <w:t>at 155-56.</w:t>
      </w:r>
    </w:p>
  </w:footnote>
  <w:footnote w:id="39">
    <w:p w14:paraId="4B034486" w14:textId="0FD2774F" w:rsidR="009442FB" w:rsidRPr="00B9018F" w:rsidRDefault="009442FB" w:rsidP="00BD1126">
      <w:pPr>
        <w:ind w:left="270" w:hanging="270"/>
        <w:jc w:val="both"/>
        <w:rPr>
          <w:sz w:val="20"/>
          <w:szCs w:val="20"/>
        </w:rPr>
      </w:pPr>
      <w:r w:rsidRPr="00B9018F">
        <w:rPr>
          <w:rStyle w:val="FootnoteReference"/>
          <w:sz w:val="20"/>
          <w:szCs w:val="20"/>
        </w:rPr>
        <w:footnoteRef/>
      </w:r>
      <w:r w:rsidRPr="00B9018F">
        <w:rPr>
          <w:sz w:val="20"/>
          <w:szCs w:val="20"/>
        </w:rPr>
        <w:tab/>
      </w:r>
      <w:r w:rsidRPr="00B9018F">
        <w:rPr>
          <w:i/>
          <w:sz w:val="20"/>
          <w:szCs w:val="20"/>
        </w:rPr>
        <w:t xml:space="preserve">See </w:t>
      </w:r>
      <w:r w:rsidRPr="00B9018F">
        <w:rPr>
          <w:sz w:val="20"/>
          <w:szCs w:val="20"/>
        </w:rPr>
        <w:t xml:space="preserve">American Empire Surplus Lines Ins. Co. v. Hathaway Dev. Co., 707 S.E.2d 369 (Ga. 2011); </w:t>
      </w:r>
      <w:r w:rsidRPr="00B9018F">
        <w:rPr>
          <w:i/>
          <w:sz w:val="20"/>
          <w:szCs w:val="20"/>
        </w:rPr>
        <w:t xml:space="preserve">see </w:t>
      </w:r>
      <w:r w:rsidRPr="00B9018F">
        <w:rPr>
          <w:sz w:val="20"/>
          <w:szCs w:val="20"/>
        </w:rPr>
        <w:t xml:space="preserve">Brosnahan Builders, Inc. v. Harleysville Mut. Ins. Co., 137 F. Supp.2d 517 (D. Del. 2001) (finding that an “occurrence” or “accident” is “an event happening without human agency, or if happening through human agency, an event, which under circumstances, is unusual and not expected by the person to whom it happens”); </w:t>
      </w:r>
      <w:r w:rsidRPr="00B9018F">
        <w:rPr>
          <w:i/>
          <w:sz w:val="20"/>
          <w:szCs w:val="20"/>
        </w:rPr>
        <w:t xml:space="preserve">see </w:t>
      </w:r>
      <w:r w:rsidRPr="00B9018F">
        <w:rPr>
          <w:sz w:val="20"/>
          <w:szCs w:val="20"/>
        </w:rPr>
        <w:t xml:space="preserve">Sova v. Cove Homeowner’s Ass’n, Inc., 102 So. 3d 863, 872 (La. App. 1st Cir. 9/7/12) (citing Knight v. L.H. Bossier, Inc., 118 So. 2d 700 (La. App. 1st Cir. 1960)) (holding that an event that is unforeseeable and unexpected by the person acted on or affected by the event); </w:t>
      </w:r>
      <w:r w:rsidRPr="00B9018F">
        <w:rPr>
          <w:i/>
          <w:sz w:val="20"/>
          <w:szCs w:val="20"/>
        </w:rPr>
        <w:t xml:space="preserve">see </w:t>
      </w:r>
      <w:r w:rsidRPr="00B9018F">
        <w:rPr>
          <w:sz w:val="20"/>
          <w:szCs w:val="20"/>
        </w:rPr>
        <w:t xml:space="preserve">Hawkeye-Security Ins. Co. v. Vector Constr. Co., 460 N.W.2d 329 (Mich. Ct. App. 1990) (finding an accident “may be anything that begins to be, that happens, or that is a result which is not anticipated and is unforeseen and unexpected by the person injured or affected thereby-that is takes place without the insured’s foresight or expectation and without design or intentional causation on his part.”). </w:t>
      </w:r>
    </w:p>
  </w:footnote>
  <w:footnote w:id="40">
    <w:p w14:paraId="7A204CB5" w14:textId="100E26CF" w:rsidR="009442FB" w:rsidRPr="00B9018F" w:rsidRDefault="009442FB" w:rsidP="00BD1126">
      <w:pPr>
        <w:pStyle w:val="FootnoteText"/>
        <w:ind w:left="270" w:hanging="270"/>
        <w:jc w:val="both"/>
      </w:pPr>
      <w:r w:rsidRPr="00B9018F">
        <w:rPr>
          <w:rStyle w:val="FootnoteReference"/>
        </w:rPr>
        <w:footnoteRef/>
      </w:r>
      <w:r w:rsidRPr="00B9018F">
        <w:tab/>
      </w:r>
      <w:r w:rsidR="004A2C25" w:rsidRPr="0086447C">
        <w:rPr>
          <w:i/>
        </w:rPr>
        <w:t>Sova</w:t>
      </w:r>
      <w:r w:rsidR="0086447C">
        <w:t>,</w:t>
      </w:r>
      <w:r w:rsidR="004A2C25" w:rsidRPr="004A2C25">
        <w:t xml:space="preserve"> </w:t>
      </w:r>
      <w:r w:rsidRPr="00B9018F">
        <w:rPr>
          <w:color w:val="000000"/>
        </w:rPr>
        <w:t>102 So. 3d 863</w:t>
      </w:r>
      <w:r w:rsidR="004A2C25">
        <w:rPr>
          <w:color w:val="000000"/>
        </w:rPr>
        <w:t>.</w:t>
      </w:r>
    </w:p>
  </w:footnote>
  <w:footnote w:id="41">
    <w:p w14:paraId="20C7E939" w14:textId="51225B45"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at 865.</w:t>
      </w:r>
    </w:p>
  </w:footnote>
  <w:footnote w:id="42">
    <w:p w14:paraId="775EA16C" w14:textId="3FE1762A"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at 870.</w:t>
      </w:r>
    </w:p>
  </w:footnote>
  <w:footnote w:id="43">
    <w:p w14:paraId="74843C0A" w14:textId="17624495"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at 872.</w:t>
      </w:r>
    </w:p>
  </w:footnote>
  <w:footnote w:id="44">
    <w:p w14:paraId="59A7C13A" w14:textId="7606D202"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w:t>
      </w:r>
    </w:p>
  </w:footnote>
  <w:footnote w:id="45">
    <w:p w14:paraId="410733B9" w14:textId="1E499EBC" w:rsidR="009442FB" w:rsidRPr="00B9018F" w:rsidRDefault="009442FB" w:rsidP="00BD1126">
      <w:pPr>
        <w:pStyle w:val="FootnoteText"/>
        <w:ind w:left="270" w:hanging="270"/>
        <w:jc w:val="both"/>
      </w:pPr>
      <w:r w:rsidRPr="00B9018F">
        <w:rPr>
          <w:rStyle w:val="FootnoteReference"/>
        </w:rPr>
        <w:footnoteRef/>
      </w:r>
      <w:r w:rsidRPr="00B9018F">
        <w:t xml:space="preserve"> </w:t>
      </w:r>
      <w:r w:rsidRPr="00B9018F">
        <w:tab/>
        <w:t xml:space="preserve">EIL policies are “claims made” meaning that the claim must be made against the insured and reported to the insurer during the policy period, or an extended reporting period. </w:t>
      </w:r>
    </w:p>
  </w:footnote>
  <w:footnote w:id="46">
    <w:p w14:paraId="25EC9B57" w14:textId="63890ED4"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 xml:space="preserve">See </w:t>
      </w:r>
      <w:r w:rsidRPr="00B9018F">
        <w:t>Don’s Bldg. Supply, Inc. v. OneBeacon Ins. Co., 267 S.W.3d 20, 25 (Tex. 2008).</w:t>
      </w:r>
    </w:p>
  </w:footnote>
  <w:footnote w:id="47">
    <w:p w14:paraId="33FD0518" w14:textId="607975E3"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See id</w:t>
      </w:r>
      <w:r w:rsidR="0086447C">
        <w:t>. at 25, n.</w:t>
      </w:r>
      <w:r w:rsidRPr="00B9018F">
        <w:t>22.</w:t>
      </w:r>
    </w:p>
  </w:footnote>
  <w:footnote w:id="48">
    <w:p w14:paraId="6163262D" w14:textId="3FDF6145" w:rsidR="009442FB" w:rsidRPr="00B9018F" w:rsidRDefault="009442FB" w:rsidP="00BD1126">
      <w:pPr>
        <w:pStyle w:val="FootnoteText"/>
        <w:ind w:left="270" w:hanging="270"/>
        <w:jc w:val="both"/>
      </w:pPr>
      <w:r w:rsidRPr="00B9018F">
        <w:rPr>
          <w:rStyle w:val="FootnoteReference"/>
        </w:rPr>
        <w:footnoteRef/>
      </w:r>
      <w:r w:rsidRPr="00B9018F">
        <w:tab/>
      </w:r>
      <w:r w:rsidRPr="00B9018F">
        <w:t xml:space="preserve">Korossy v. Sunrise Homes, Inc., 94-473 (La. App. 5th Cir. 3/15/95), 653 So. 2d 1215, 1225, </w:t>
      </w:r>
      <w:r w:rsidRPr="00B9018F">
        <w:rPr>
          <w:i/>
        </w:rPr>
        <w:t>writs denied</w:t>
      </w:r>
      <w:r w:rsidRPr="00B9018F">
        <w:t>, 95-1522, 1536 (La. 9/29/95), 660 So. 2d 878.</w:t>
      </w:r>
    </w:p>
  </w:footnote>
  <w:footnote w:id="49">
    <w:p w14:paraId="1E2D7813" w14:textId="72F8FA63"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 xml:space="preserve">See </w:t>
      </w:r>
      <w:r w:rsidRPr="00B9018F">
        <w:t>Mangerchine v. Reaves, 10-1052 (La. App. 1st Cir. 3/25/11), 63 So. 3d 1049, 1058.</w:t>
      </w:r>
    </w:p>
  </w:footnote>
  <w:footnote w:id="50">
    <w:p w14:paraId="6F53489D" w14:textId="1166C12C"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 xml:space="preserve">See </w:t>
      </w:r>
      <w:r w:rsidRPr="00B9018F">
        <w:t>Ins. Co. of N. Am. v. Forty-Eight Insulations, Inc., 633 F.2d 1212, 1223 (6th Cir. 1980).</w:t>
      </w:r>
    </w:p>
  </w:footnote>
  <w:footnote w:id="51">
    <w:p w14:paraId="0B9FAE28" w14:textId="1A5B5BC8" w:rsidR="009442FB" w:rsidRPr="00B9018F" w:rsidRDefault="009442FB" w:rsidP="00BD1126">
      <w:pPr>
        <w:pStyle w:val="FootnoteText"/>
        <w:ind w:left="270" w:hanging="270"/>
        <w:jc w:val="both"/>
      </w:pPr>
      <w:r w:rsidRPr="00B9018F">
        <w:rPr>
          <w:rStyle w:val="FootnoteReference"/>
        </w:rPr>
        <w:footnoteRef/>
      </w:r>
      <w:r w:rsidRPr="00B9018F">
        <w:tab/>
        <w:t xml:space="preserve">Although there are a number of allocation methods besides these, they have been discarded or are only utilized by a slim minority. Depending upon the jurisdiction, the allocation scheme will be determined by the particular language of the applicable policy or stands on previous case law. </w:t>
      </w:r>
      <w:r w:rsidRPr="00B9018F">
        <w:rPr>
          <w:i/>
        </w:rPr>
        <w:t>Compare</w:t>
      </w:r>
      <w:r w:rsidRPr="00B9018F">
        <w:t xml:space="preserve"> </w:t>
      </w:r>
      <w:r w:rsidRPr="00B9018F">
        <w:t xml:space="preserve">Keyspan Gas East Corporation v. Munich Reinsurance America, Inc., 96 N.E.3d 113 (N.Y. 2018) (“[W]e have not adopted a strict pro rata or sums allocation rule. Rather, the method of allocation is governed foremost by the particular language of the relevant insurance policy”), </w:t>
      </w:r>
      <w:r w:rsidRPr="00B9018F">
        <w:rPr>
          <w:i/>
        </w:rPr>
        <w:t>with</w:t>
      </w:r>
      <w:r w:rsidRPr="00B9018F">
        <w:t xml:space="preserve"> EnergyNorth Natural Gas, Inc. v. Certain Underwriters at Lloyd’s, 934 A.2d 517, 526-27 (N.H. 2007) (“[W]e need not select a particular method of pro-ration in this case, [but] we observe that in future cases, trial courts should, where practicable apply the pro-ration by years and limits method”).</w:t>
      </w:r>
    </w:p>
  </w:footnote>
  <w:footnote w:id="52">
    <w:p w14:paraId="332D92CB" w14:textId="7F998A16"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 xml:space="preserve">See </w:t>
      </w:r>
      <w:r w:rsidRPr="00B9018F">
        <w:rPr>
          <w:rFonts w:cs="Times New Roman"/>
          <w:color w:val="000000"/>
        </w:rPr>
        <w:t>Keene Corp. v. Insurance Co. of North America,</w:t>
      </w:r>
      <w:r w:rsidRPr="00B9018F">
        <w:t xml:space="preserve"> 667 F.2d 1049 (D.C. Cir. 1981). </w:t>
      </w:r>
      <w:r w:rsidRPr="00B9018F">
        <w:rPr>
          <w:i/>
        </w:rPr>
        <w:t>See also</w:t>
      </w:r>
      <w:r w:rsidRPr="00B9018F">
        <w:t xml:space="preserve"> </w:t>
      </w:r>
      <w:r w:rsidRPr="00B9018F">
        <w:t xml:space="preserve">J.H. France Refractories Co. v. Allstate Ins. Co., 626 A.2d 502, 508 (Pa. 1993) (applying allocation by joint and several liability, citing standard language in the policy’s insuring agreement). </w:t>
      </w:r>
    </w:p>
  </w:footnote>
  <w:footnote w:id="53">
    <w:p w14:paraId="32997AB9" w14:textId="69D6C2C7"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Keene</w:t>
      </w:r>
      <w:r w:rsidRPr="00B9018F">
        <w:t>, 667 F.2d at 1049.</w:t>
      </w:r>
    </w:p>
  </w:footnote>
  <w:footnote w:id="54">
    <w:p w14:paraId="29DD661E" w14:textId="519969F8"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w:t>
      </w:r>
    </w:p>
  </w:footnote>
  <w:footnote w:id="55">
    <w:p w14:paraId="6C9A7954" w14:textId="5B7528CF"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xml:space="preserve">. at 1034. A number of courts have come to rely on Keene as the guiding authority for applying allocation on a joint and several basis. </w:t>
      </w:r>
      <w:r w:rsidRPr="00B9018F">
        <w:rPr>
          <w:i/>
        </w:rPr>
        <w:t>See</w:t>
      </w:r>
      <w:r w:rsidRPr="00B9018F">
        <w:t xml:space="preserve"> In re Viking Pump, Inc., 52 N.E.3d 1144, 1150 (N.Y. 2016); </w:t>
      </w:r>
      <w:r w:rsidRPr="00B9018F">
        <w:rPr>
          <w:i/>
        </w:rPr>
        <w:t xml:space="preserve">see </w:t>
      </w:r>
      <w:r w:rsidRPr="00B9018F">
        <w:t xml:space="preserve">State of California v. Continental Ins. Co., 281 P.3d 1000, 1007 (Cal. 2012); </w:t>
      </w:r>
      <w:r w:rsidRPr="00B9018F">
        <w:rPr>
          <w:i/>
        </w:rPr>
        <w:t xml:space="preserve">see </w:t>
      </w:r>
      <w:r w:rsidRPr="00B9018F">
        <w:t xml:space="preserve">Plastics </w:t>
      </w:r>
      <w:r w:rsidRPr="00B9018F">
        <w:t xml:space="preserve">Eng’g Co. v. Liberty Mut. Ins. Co., 759 N.W.2d 613, 626 (Wis. 2009); </w:t>
      </w:r>
      <w:r w:rsidRPr="00B9018F">
        <w:rPr>
          <w:i/>
        </w:rPr>
        <w:t xml:space="preserve">see </w:t>
      </w:r>
      <w:r w:rsidRPr="00B9018F">
        <w:t xml:space="preserve">Goodyear Tire &amp; Rubber Co. v. Aetna Cas. &amp; Sur. Co., 769 N.E.2d 835, 840 (Ohio 2002); </w:t>
      </w:r>
      <w:r w:rsidRPr="00B9018F">
        <w:rPr>
          <w:i/>
        </w:rPr>
        <w:t xml:space="preserve">see </w:t>
      </w:r>
      <w:r w:rsidRPr="00B9018F">
        <w:t xml:space="preserve">Hercules, Inc. v. AIU Ins. Co., 784 A.2d 481, 491 (Del. 2001); </w:t>
      </w:r>
      <w:r w:rsidRPr="00B9018F">
        <w:rPr>
          <w:i/>
        </w:rPr>
        <w:t xml:space="preserve">see </w:t>
      </w:r>
      <w:r w:rsidRPr="00B9018F">
        <w:t>American Physicians Ins. Exch. v. Garcia, 876 S.W.2d 842, 855 (Tex. 1994).</w:t>
      </w:r>
    </w:p>
  </w:footnote>
  <w:footnote w:id="56">
    <w:p w14:paraId="07D211BC" w14:textId="67C184C6"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at 1038.</w:t>
      </w:r>
    </w:p>
  </w:footnote>
  <w:footnote w:id="57">
    <w:p w14:paraId="60EDB25A" w14:textId="3CE8EC56"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at 1050.</w:t>
      </w:r>
    </w:p>
  </w:footnote>
  <w:footnote w:id="58">
    <w:p w14:paraId="677BD9E5" w14:textId="767400C2" w:rsidR="009442FB" w:rsidRPr="00B9018F" w:rsidRDefault="009442FB" w:rsidP="00BD1126">
      <w:pPr>
        <w:pStyle w:val="FootnoteText"/>
        <w:ind w:left="270" w:hanging="270"/>
        <w:jc w:val="both"/>
      </w:pPr>
      <w:r w:rsidRPr="00B9018F">
        <w:rPr>
          <w:rStyle w:val="FootnoteReference"/>
        </w:rPr>
        <w:footnoteRef/>
      </w:r>
      <w:r w:rsidRPr="00B9018F">
        <w:tab/>
      </w:r>
      <w:r w:rsidRPr="0086447C">
        <w:rPr>
          <w:i/>
        </w:rPr>
        <w:t>Forty-Eight Insulations</w:t>
      </w:r>
      <w:r w:rsidRPr="00B9018F">
        <w:t xml:space="preserve">, 633 F.2d </w:t>
      </w:r>
      <w:r w:rsidR="0086447C">
        <w:t>at 1224.</w:t>
      </w:r>
    </w:p>
  </w:footnote>
  <w:footnote w:id="59">
    <w:p w14:paraId="28270FD2" w14:textId="6FEE33E6"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w:t>
      </w:r>
    </w:p>
  </w:footnote>
  <w:footnote w:id="60">
    <w:p w14:paraId="15632160" w14:textId="431D0D00"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xml:space="preserve">. </w:t>
      </w:r>
    </w:p>
  </w:footnote>
  <w:footnote w:id="61">
    <w:p w14:paraId="17042B08" w14:textId="4CFB6E86"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See</w:t>
      </w:r>
      <w:r w:rsidRPr="00B9018F">
        <w:t xml:space="preserve"> Boston Gas Co. v. Century </w:t>
      </w:r>
      <w:r w:rsidRPr="00B9018F">
        <w:t xml:space="preserve">Indem. Co., 910 N.E.2d 290, 310 (Mass. </w:t>
      </w:r>
      <w:r w:rsidR="00BD1126">
        <w:t xml:space="preserve">2009) (holding that pro </w:t>
      </w:r>
      <w:r w:rsidRPr="00B9018F">
        <w:t xml:space="preserve">rata by years is not only consistent with the policy language but also “serves important public policy objectives”); </w:t>
      </w:r>
      <w:r w:rsidRPr="00B9018F">
        <w:rPr>
          <w:i/>
        </w:rPr>
        <w:t xml:space="preserve">see </w:t>
      </w:r>
      <w:r w:rsidRPr="00B9018F">
        <w:t xml:space="preserve">EnergyNorth, 934 A.2d at 517; </w:t>
      </w:r>
      <w:r w:rsidRPr="00B9018F">
        <w:rPr>
          <w:i/>
        </w:rPr>
        <w:t xml:space="preserve">see also </w:t>
      </w:r>
      <w:r w:rsidRPr="00B9018F">
        <w:t>Public Serv. Co. of Colorado v. Wallis &amp; Cos., 986 P.2d 924, 940 (Colo. 1999).</w:t>
      </w:r>
    </w:p>
  </w:footnote>
  <w:footnote w:id="62">
    <w:p w14:paraId="2871BA11" w14:textId="643C4D4F"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 xml:space="preserve">See </w:t>
      </w:r>
      <w:r w:rsidRPr="00B9018F">
        <w:t>Owens-Illinois, Inc. v. United Ins. Co., 650 A.2d 974, 993 (N.J. 1994)</w:t>
      </w:r>
      <w:r w:rsidR="004A2C25">
        <w:t>.</w:t>
      </w:r>
    </w:p>
  </w:footnote>
  <w:footnote w:id="63">
    <w:p w14:paraId="5E59FF15" w14:textId="2D5C0F6A"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at 994.</w:t>
      </w:r>
    </w:p>
  </w:footnote>
  <w:footnote w:id="64">
    <w:p w14:paraId="2359179E" w14:textId="3F2E5BBB"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 xml:space="preserve">See id. </w:t>
      </w:r>
      <w:r w:rsidRPr="00B9018F">
        <w:t>(providing a sample calculation).</w:t>
      </w:r>
    </w:p>
  </w:footnote>
  <w:footnote w:id="65">
    <w:p w14:paraId="6A03EAE1" w14:textId="16E97132"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See Id</w:t>
      </w:r>
      <w:r w:rsidRPr="004A2C25">
        <w:rPr>
          <w:i/>
        </w:rPr>
        <w:t>.</w:t>
      </w:r>
      <w:r w:rsidRPr="00B9018F">
        <w:t xml:space="preserve"> at 991-92 (observing that the traditional techniques of contract interpretation cannot produce a coherent result). </w:t>
      </w:r>
    </w:p>
  </w:footnote>
  <w:footnote w:id="66">
    <w:p w14:paraId="265689FA" w14:textId="45D9D3E8"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at 993.</w:t>
      </w:r>
    </w:p>
  </w:footnote>
  <w:footnote w:id="67">
    <w:p w14:paraId="0846E2C5" w14:textId="538E78F4" w:rsidR="00130BBF" w:rsidRPr="00B9018F" w:rsidRDefault="00130BBF" w:rsidP="00BD1126">
      <w:pPr>
        <w:pStyle w:val="FootnoteText"/>
        <w:ind w:left="270" w:hanging="270"/>
        <w:jc w:val="both"/>
      </w:pPr>
      <w:r w:rsidRPr="00B9018F">
        <w:rPr>
          <w:rStyle w:val="FootnoteReference"/>
        </w:rPr>
        <w:footnoteRef/>
      </w:r>
      <w:r w:rsidRPr="00B9018F">
        <w:tab/>
      </w:r>
      <w:r w:rsidRPr="00130BBF">
        <w:rPr>
          <w:i/>
        </w:rPr>
        <w:t>Garcia</w:t>
      </w:r>
      <w:r>
        <w:t xml:space="preserve">, </w:t>
      </w:r>
      <w:r w:rsidRPr="00B9018F">
        <w:t xml:space="preserve">876 S.W.2d </w:t>
      </w:r>
      <w:r>
        <w:t xml:space="preserve">at </w:t>
      </w:r>
      <w:r w:rsidRPr="00B9018F">
        <w:t>84</w:t>
      </w:r>
      <w:r>
        <w:t>2.</w:t>
      </w:r>
    </w:p>
  </w:footnote>
  <w:footnote w:id="68">
    <w:p w14:paraId="4AEE8B2E" w14:textId="77777777"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at 855.</w:t>
      </w:r>
    </w:p>
  </w:footnote>
  <w:footnote w:id="69">
    <w:p w14:paraId="3C5E43C5" w14:textId="51EEA9FE" w:rsidR="009442FB" w:rsidRPr="00B9018F" w:rsidRDefault="009442FB" w:rsidP="00BD1126">
      <w:pPr>
        <w:pStyle w:val="FootnoteText"/>
        <w:ind w:left="270" w:hanging="270"/>
        <w:jc w:val="both"/>
      </w:pPr>
      <w:r w:rsidRPr="00B9018F">
        <w:rPr>
          <w:rStyle w:val="FootnoteReference"/>
        </w:rPr>
        <w:footnoteRef/>
      </w:r>
      <w:r w:rsidRPr="00B9018F">
        <w:tab/>
      </w:r>
      <w:r w:rsidR="004A2C25" w:rsidRPr="004A2C25">
        <w:t>Lennar Corp. v. Markel American Insurance Co.</w:t>
      </w:r>
      <w:r w:rsidR="004A2C25">
        <w:t xml:space="preserve">, </w:t>
      </w:r>
      <w:r w:rsidRPr="00B9018F">
        <w:t>413 S.W.3d 750 (Tex. 2013).</w:t>
      </w:r>
    </w:p>
  </w:footnote>
  <w:footnote w:id="70">
    <w:p w14:paraId="075AB12A" w14:textId="77777777" w:rsidR="009442FB" w:rsidRPr="00B9018F" w:rsidRDefault="009442FB" w:rsidP="00BD1126">
      <w:pPr>
        <w:pStyle w:val="FootnoteText"/>
        <w:ind w:left="270" w:hanging="270"/>
        <w:jc w:val="both"/>
      </w:pPr>
      <w:r w:rsidRPr="00B9018F">
        <w:rPr>
          <w:rStyle w:val="FootnoteReference"/>
        </w:rPr>
        <w:footnoteRef/>
      </w:r>
      <w:r w:rsidRPr="00B9018F">
        <w:rPr>
          <w:i/>
        </w:rPr>
        <w:tab/>
        <w:t>Id</w:t>
      </w:r>
      <w:r w:rsidRPr="00B9018F">
        <w:t>. at 758.</w:t>
      </w:r>
    </w:p>
  </w:footnote>
  <w:footnote w:id="71">
    <w:p w14:paraId="3D4B4E82" w14:textId="77777777"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 xml:space="preserve">See id. </w:t>
      </w:r>
      <w:r w:rsidRPr="00B9018F">
        <w:t>at 759.</w:t>
      </w:r>
    </w:p>
  </w:footnote>
  <w:footnote w:id="72">
    <w:p w14:paraId="0D0F9830" w14:textId="77777777"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See id</w:t>
      </w:r>
      <w:r w:rsidRPr="00B9018F">
        <w:t>.</w:t>
      </w:r>
    </w:p>
  </w:footnote>
  <w:footnote w:id="73">
    <w:p w14:paraId="0D1EA18D" w14:textId="75D14B79"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See id</w:t>
      </w:r>
      <w:r w:rsidRPr="00B9018F">
        <w:t xml:space="preserve">. at 29-30; </w:t>
      </w:r>
      <w:r w:rsidRPr="00B9018F">
        <w:rPr>
          <w:i/>
        </w:rPr>
        <w:t xml:space="preserve">compare </w:t>
      </w:r>
      <w:r w:rsidRPr="00B9018F">
        <w:t xml:space="preserve">Garvey v. State Farm Fire &amp; Cas. Co., 770 P.2d 704 (Cal. 1989), </w:t>
      </w:r>
      <w:r w:rsidRPr="00B9018F">
        <w:rPr>
          <w:i/>
        </w:rPr>
        <w:t xml:space="preserve">and </w:t>
      </w:r>
      <w:r w:rsidRPr="00B9018F">
        <w:t xml:space="preserve">W. Nat. </w:t>
      </w:r>
      <w:r w:rsidRPr="00B9018F">
        <w:t xml:space="preserve">Mut. Ins. Co. v. Univ. of N. Dakota, 643 N.W.2d 4 (N.D. 2002), </w:t>
      </w:r>
      <w:r w:rsidRPr="00B9018F">
        <w:rPr>
          <w:i/>
        </w:rPr>
        <w:t xml:space="preserve">with </w:t>
      </w:r>
      <w:r w:rsidR="00130BBF" w:rsidRPr="00B9018F">
        <w:t>JAW The Pointe, LLC v. Lexington Insurance Company, 460 S.W.3d 597</w:t>
      </w:r>
      <w:r w:rsidR="00130BBF">
        <w:t xml:space="preserve"> </w:t>
      </w:r>
      <w:r w:rsidRPr="00B9018F">
        <w:t xml:space="preserve">(rejecting the common law doctrine of efficient proximate cause in favor of the insurance contract’s unambiguous language, including its anti-concurrent causation clause). </w:t>
      </w:r>
    </w:p>
  </w:footnote>
  <w:footnote w:id="74">
    <w:p w14:paraId="6B285418" w14:textId="77777777" w:rsidR="009442FB" w:rsidRPr="00B9018F" w:rsidRDefault="009442FB" w:rsidP="00BD1126">
      <w:pPr>
        <w:pStyle w:val="FootnoteText"/>
        <w:ind w:left="270" w:hanging="270"/>
        <w:jc w:val="both"/>
      </w:pPr>
      <w:r w:rsidRPr="00B9018F">
        <w:rPr>
          <w:rStyle w:val="FootnoteReference"/>
        </w:rPr>
        <w:footnoteRef/>
      </w:r>
      <w:r w:rsidRPr="00B9018F">
        <w:tab/>
        <w:t xml:space="preserve">Safeco Ins. Co. of Am. v. </w:t>
      </w:r>
      <w:r w:rsidRPr="00B9018F">
        <w:t>Hirschmann, 773 P.2d 413 (Wash. 1989).</w:t>
      </w:r>
    </w:p>
  </w:footnote>
  <w:footnote w:id="75">
    <w:p w14:paraId="052F0D91" w14:textId="77777777" w:rsidR="009442FB" w:rsidRPr="00B9018F" w:rsidRDefault="009442FB" w:rsidP="00BD1126">
      <w:pPr>
        <w:pStyle w:val="FootnoteText"/>
        <w:ind w:left="270" w:hanging="270"/>
        <w:jc w:val="both"/>
      </w:pPr>
      <w:r w:rsidRPr="00B9018F">
        <w:rPr>
          <w:rStyle w:val="FootnoteReference"/>
        </w:rPr>
        <w:footnoteRef/>
      </w:r>
      <w:r w:rsidRPr="00B9018F">
        <w:tab/>
        <w:t>Murray v. State Farm Fire &amp; Cas. Co., 509 S.E.2d 1 (W. Va. 1998).</w:t>
      </w:r>
    </w:p>
  </w:footnote>
  <w:footnote w:id="76">
    <w:p w14:paraId="3BA6702A" w14:textId="00DE9878" w:rsidR="009442FB" w:rsidRPr="00B9018F" w:rsidRDefault="009442FB" w:rsidP="00BD1126">
      <w:pPr>
        <w:pStyle w:val="FootnoteText"/>
        <w:ind w:left="270" w:hanging="270"/>
        <w:jc w:val="both"/>
      </w:pPr>
      <w:r w:rsidRPr="00B9018F">
        <w:rPr>
          <w:rStyle w:val="FootnoteReference"/>
        </w:rPr>
        <w:footnoteRef/>
      </w:r>
      <w:r w:rsidRPr="00B9018F">
        <w:tab/>
      </w:r>
      <w:r w:rsidR="00130BBF" w:rsidRPr="00B9018F">
        <w:rPr>
          <w:i/>
        </w:rPr>
        <w:t>JAW the Pointe</w:t>
      </w:r>
      <w:r w:rsidR="00130BBF" w:rsidRPr="00B9018F">
        <w:t>, 460 S.W.3d at</w:t>
      </w:r>
      <w:r w:rsidRPr="00B9018F">
        <w:t xml:space="preserve"> 609</w:t>
      </w:r>
      <w:r w:rsidR="00130BBF">
        <w:t xml:space="preserve"> </w:t>
      </w:r>
      <w:r w:rsidRPr="00B9018F">
        <w:t xml:space="preserve">(citing Utica Nat. Ins. Co. of Tex. v. Am. </w:t>
      </w:r>
      <w:r w:rsidRPr="00B9018F">
        <w:t>Indem. Co., 141 S.W.3d 198, 204 (Tex.2004)).</w:t>
      </w:r>
    </w:p>
  </w:footnote>
  <w:footnote w:id="77">
    <w:p w14:paraId="0EBDE210" w14:textId="2EC23770" w:rsidR="009442FB" w:rsidRPr="00B9018F" w:rsidRDefault="009442FB" w:rsidP="00BD1126">
      <w:pPr>
        <w:pStyle w:val="FootnoteText"/>
        <w:ind w:left="270" w:hanging="270"/>
        <w:jc w:val="both"/>
      </w:pPr>
      <w:r w:rsidRPr="00B9018F">
        <w:rPr>
          <w:rStyle w:val="FootnoteReference"/>
        </w:rPr>
        <w:footnoteRef/>
      </w:r>
      <w:r w:rsidR="00DF4698">
        <w:tab/>
      </w:r>
      <w:r w:rsidRPr="00B9018F">
        <w:rPr>
          <w:i/>
        </w:rPr>
        <w:t>Id</w:t>
      </w:r>
      <w:r w:rsidRPr="00B9018F">
        <w:t>.</w:t>
      </w:r>
    </w:p>
  </w:footnote>
  <w:footnote w:id="78">
    <w:p w14:paraId="4288FAF2" w14:textId="794BE0C7" w:rsidR="009442FB" w:rsidRPr="00B9018F" w:rsidRDefault="009442FB" w:rsidP="00BD1126">
      <w:pPr>
        <w:pStyle w:val="FootnoteText"/>
        <w:ind w:left="270" w:hanging="270"/>
        <w:jc w:val="both"/>
      </w:pPr>
      <w:r w:rsidRPr="00B9018F">
        <w:rPr>
          <w:rStyle w:val="FootnoteReference"/>
        </w:rPr>
        <w:footnoteRef/>
      </w:r>
      <w:r w:rsidR="00DF4698">
        <w:tab/>
      </w:r>
      <w:r w:rsidRPr="00B9018F">
        <w:rPr>
          <w:i/>
        </w:rPr>
        <w:t>Id</w:t>
      </w:r>
      <w:r w:rsidRPr="00B9018F">
        <w:t>.</w:t>
      </w:r>
    </w:p>
  </w:footnote>
  <w:footnote w:id="79">
    <w:p w14:paraId="526B3CF4" w14:textId="2F823D91" w:rsidR="009442FB" w:rsidRPr="00B9018F" w:rsidRDefault="009442FB" w:rsidP="00BD1126">
      <w:pPr>
        <w:pStyle w:val="FootnoteText"/>
        <w:ind w:left="270" w:hanging="270"/>
        <w:jc w:val="both"/>
      </w:pPr>
      <w:r w:rsidRPr="00B9018F">
        <w:rPr>
          <w:rStyle w:val="FootnoteReference"/>
        </w:rPr>
        <w:footnoteRef/>
      </w:r>
      <w:r w:rsidR="00DF4698">
        <w:tab/>
      </w:r>
      <w:r w:rsidRPr="00B9018F">
        <w:rPr>
          <w:i/>
        </w:rPr>
        <w:t>See e.g.</w:t>
      </w:r>
      <w:r w:rsidRPr="00B9018F">
        <w:t>,</w:t>
      </w:r>
      <w:r w:rsidRPr="00B9018F">
        <w:rPr>
          <w:i/>
        </w:rPr>
        <w:t xml:space="preserve"> </w:t>
      </w:r>
      <w:r w:rsidRPr="00B9018F">
        <w:t xml:space="preserve">Dallas National Insurance Company v. </w:t>
      </w:r>
      <w:r w:rsidRPr="00B9018F">
        <w:t xml:space="preserve">Calitex Corp., </w:t>
      </w:r>
      <w:r w:rsidR="00DF4698">
        <w:t>458 S.W.3d 210 (Tex. App.–</w:t>
      </w:r>
      <w:r w:rsidRPr="00B9018F">
        <w:t>Dallas, 2015).</w:t>
      </w:r>
    </w:p>
  </w:footnote>
  <w:footnote w:id="80">
    <w:p w14:paraId="034AAFBD" w14:textId="77777777" w:rsidR="007C5EAD" w:rsidRPr="00B9018F" w:rsidRDefault="007C5EAD" w:rsidP="007C5EAD">
      <w:pPr>
        <w:pStyle w:val="FootnoteText"/>
        <w:ind w:left="270" w:hanging="270"/>
        <w:jc w:val="both"/>
      </w:pPr>
      <w:r w:rsidRPr="00B9018F">
        <w:rPr>
          <w:rStyle w:val="FootnoteReference"/>
        </w:rPr>
        <w:footnoteRef/>
      </w:r>
      <w:r>
        <w:tab/>
      </w:r>
      <w:r w:rsidRPr="00130BBF">
        <w:rPr>
          <w:i/>
        </w:rPr>
        <w:t>JAW The Pointe</w:t>
      </w:r>
      <w:r w:rsidRPr="00B9018F">
        <w:t xml:space="preserve">, 460 S.W.3d </w:t>
      </w:r>
      <w:r>
        <w:t>at 609.</w:t>
      </w:r>
    </w:p>
  </w:footnote>
  <w:footnote w:id="81">
    <w:p w14:paraId="2A9371FD" w14:textId="2AEE5ED0" w:rsidR="009442FB" w:rsidRPr="00B9018F" w:rsidRDefault="009442FB" w:rsidP="00BD1126">
      <w:pPr>
        <w:pStyle w:val="FootnoteText"/>
        <w:ind w:left="270" w:hanging="270"/>
        <w:jc w:val="both"/>
      </w:pPr>
      <w:r w:rsidRPr="00B9018F">
        <w:rPr>
          <w:rStyle w:val="FootnoteReference"/>
        </w:rPr>
        <w:footnoteRef/>
      </w:r>
      <w:r w:rsidRPr="00B9018F">
        <w:tab/>
        <w:t xml:space="preserve">CBI Indus., Inc. v. National Union Fire Ins. Co., 907 S.W.2d 517 (Tex. 1995) (holding that policyholder was not permitted to conduct discovery into drafting history of pollution exclusion where policy language was unambiguous). In Louisiana, on the other </w:t>
      </w:r>
      <w:r w:rsidRPr="00B9018F">
        <w:t xml:space="preserve">thand, the pollution exclusion has been judicially limited to apply only to traditional environmental pollution on the basis of an insured’s reasonable expectations. </w:t>
      </w:r>
      <w:r w:rsidR="00130BBF">
        <w:rPr>
          <w:i/>
        </w:rPr>
        <w:t xml:space="preserve">See </w:t>
      </w:r>
      <w:r w:rsidR="00130BBF" w:rsidRPr="00B9018F">
        <w:t>Doerr v. Mobil Oil Corp., 00-0947 (La. 12/19/00), 774 So. 2d 119, 135</w:t>
      </w:r>
      <w:r w:rsidR="00130BBF">
        <w:t>.</w:t>
      </w:r>
    </w:p>
  </w:footnote>
  <w:footnote w:id="82">
    <w:p w14:paraId="5B7F00A9" w14:textId="23238569" w:rsidR="009442FB" w:rsidRPr="00B9018F" w:rsidRDefault="009442FB" w:rsidP="00BD1126">
      <w:pPr>
        <w:pStyle w:val="FootnoteText"/>
        <w:ind w:left="270" w:hanging="270"/>
        <w:jc w:val="both"/>
      </w:pPr>
      <w:r w:rsidRPr="00B9018F">
        <w:rPr>
          <w:rStyle w:val="FootnoteReference"/>
        </w:rPr>
        <w:footnoteRef/>
      </w:r>
      <w:r w:rsidR="00DF4698">
        <w:tab/>
      </w:r>
      <w:r w:rsidRPr="00B9018F">
        <w:rPr>
          <w:i/>
        </w:rPr>
        <w:t xml:space="preserve">See e.g., </w:t>
      </w:r>
      <w:r w:rsidRPr="00B9018F">
        <w:t xml:space="preserve">Hamm v. Allstate Ins. Co., 286 F.2d 790 (N.D. Tex. 2003) (holding that an insurer had no duty to defend claim of exposure to noxious fumes released within building during remodeling); </w:t>
      </w:r>
      <w:r w:rsidRPr="00B9018F">
        <w:rPr>
          <w:i/>
        </w:rPr>
        <w:t xml:space="preserve">see also </w:t>
      </w:r>
      <w:r w:rsidRPr="00B9018F">
        <w:t>Zaiontz v. Trinity Universal Ins. Co., 87 S.W.2d 565 (Tex. App. – San Antonio 2002, pet. denied) (insurer had no duty to defend claim of injury due to exposure to substances released from fire extinguisher on airplane).</w:t>
      </w:r>
    </w:p>
  </w:footnote>
  <w:footnote w:id="83">
    <w:p w14:paraId="5E9A9D3C" w14:textId="6B222572" w:rsidR="009442FB" w:rsidRPr="00B9018F" w:rsidRDefault="009442FB" w:rsidP="00BD1126">
      <w:pPr>
        <w:pStyle w:val="FootnoteText"/>
        <w:ind w:left="270" w:hanging="270"/>
        <w:jc w:val="both"/>
      </w:pPr>
      <w:r w:rsidRPr="00B9018F">
        <w:rPr>
          <w:rStyle w:val="FootnoteReference"/>
        </w:rPr>
        <w:footnoteRef/>
      </w:r>
      <w:r w:rsidRPr="00B9018F">
        <w:tab/>
        <w:t xml:space="preserve">Northbrook </w:t>
      </w:r>
      <w:r w:rsidRPr="00B9018F">
        <w:t xml:space="preserve">Indem. Ins. Co. v. Water Dist. Mgmt. Co., Inc., 892 F. Supp. 170, 171 (S.D. Tex. 1995). </w:t>
      </w:r>
    </w:p>
  </w:footnote>
  <w:footnote w:id="84">
    <w:p w14:paraId="5734DF77" w14:textId="5A029090"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xml:space="preserve">. </w:t>
      </w:r>
    </w:p>
  </w:footnote>
  <w:footnote w:id="85">
    <w:p w14:paraId="3352A638" w14:textId="04D1C425"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w:t>
      </w:r>
    </w:p>
  </w:footnote>
  <w:footnote w:id="86">
    <w:p w14:paraId="47F9EDEF" w14:textId="57409F2C" w:rsidR="009442FB" w:rsidRPr="00B9018F" w:rsidRDefault="009442FB" w:rsidP="00BD1126">
      <w:pPr>
        <w:pStyle w:val="FootnoteText"/>
        <w:ind w:left="270" w:hanging="270"/>
        <w:jc w:val="both"/>
      </w:pPr>
      <w:r w:rsidRPr="00B9018F">
        <w:rPr>
          <w:rStyle w:val="FootnoteReference"/>
        </w:rPr>
        <w:footnoteRef/>
      </w:r>
      <w:r w:rsidRPr="00B9018F">
        <w:tab/>
      </w:r>
      <w:r w:rsidRPr="00130BBF">
        <w:rPr>
          <w:i/>
        </w:rPr>
        <w:t>Doerr</w:t>
      </w:r>
      <w:r w:rsidRPr="00B9018F">
        <w:t xml:space="preserve">, 774 So. 2d </w:t>
      </w:r>
      <w:r w:rsidR="00130BBF">
        <w:t>at</w:t>
      </w:r>
      <w:r w:rsidRPr="00B9018F">
        <w:t xml:space="preserve"> 135 (finding “that the total pollution exclusion was neither designed nor intended to be read strictly to exclude coverage for all interactions with irritants or contaminants of any kind” and that its “general purpose . . . is to exclude coverage for environmental pollution”) (internal quotations and citations removed).</w:t>
      </w:r>
    </w:p>
  </w:footnote>
  <w:footnote w:id="87">
    <w:p w14:paraId="352331DC" w14:textId="2DB73C56" w:rsidR="009442FB" w:rsidRPr="00B9018F" w:rsidRDefault="009442FB" w:rsidP="00BD1126">
      <w:pPr>
        <w:pStyle w:val="FootnoteText"/>
        <w:ind w:left="270" w:hanging="270"/>
        <w:jc w:val="both"/>
      </w:pPr>
      <w:r w:rsidRPr="00B9018F">
        <w:rPr>
          <w:rStyle w:val="FootnoteReference"/>
        </w:rPr>
        <w:footnoteRef/>
      </w:r>
      <w:r w:rsidRPr="00B9018F">
        <w:tab/>
        <w:t xml:space="preserve">Mid-Continent Cas. Co. v. </w:t>
      </w:r>
      <w:r w:rsidRPr="00B9018F">
        <w:t>BFH Min., Ltd., No. CIV.A. H-14-0849, 2015 WL 2124767, at *3 (S.D. Tex. May 6, 2015) (citing Lamar Homes, Inc. v. Mid-Continent Cas. Co., 242 S.W.3d 1, 9 (Tex. 2007)).</w:t>
      </w:r>
    </w:p>
  </w:footnote>
  <w:footnote w:id="88">
    <w:p w14:paraId="1995414B" w14:textId="326BA14A"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 xml:space="preserve">See </w:t>
      </w:r>
      <w:r w:rsidRPr="00B9018F">
        <w:t xml:space="preserve">Trinity Universal Ins. Co. v. Cowan, 945 S.W.2d 819, 828 (Tex. 1997) (recognizing that a deliberate act can result in accidental damage); </w:t>
      </w:r>
      <w:r w:rsidRPr="00B9018F">
        <w:rPr>
          <w:i/>
        </w:rPr>
        <w:t xml:space="preserve">see also </w:t>
      </w:r>
      <w:r w:rsidRPr="00B9018F">
        <w:t xml:space="preserve">Dallas Nat. Ins. Co. v. </w:t>
      </w:r>
      <w:r w:rsidRPr="00B9018F">
        <w:t>Sabic Americas, Inc., 355 S.W.3d 111, 120 (Tex. App.—Houston [1st Dist.] 2011, pet. denied).</w:t>
      </w:r>
    </w:p>
  </w:footnote>
  <w:footnote w:id="89">
    <w:p w14:paraId="2CB8FFAA" w14:textId="2A2FB705"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Lamar</w:t>
      </w:r>
      <w:r w:rsidRPr="00B9018F">
        <w:t>, 242 S.W.3d at 9.</w:t>
      </w:r>
    </w:p>
  </w:footnote>
  <w:footnote w:id="90">
    <w:p w14:paraId="6FB60688" w14:textId="256FEFE7"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 xml:space="preserve">See </w:t>
      </w:r>
      <w:r w:rsidRPr="00B9018F">
        <w:t xml:space="preserve">Philadelphia </w:t>
      </w:r>
      <w:r w:rsidRPr="00B9018F">
        <w:t>Indem. Ins. Co. v. Stebbins Five Companies, No. CIV.A. 302CV1279M, 2004 WL 210636, at *4 (N.D. Tex. Jan. 27, 2004) (citing Am. Home Assur. Co. v. Safway Steel Products Co., Inc., A Div. of Figgie Intern., Inc., 743 S.W.2d 693, 701, n. 8 (Tex. App.—Austin 1987, writ denied)).</w:t>
      </w:r>
    </w:p>
  </w:footnote>
  <w:footnote w:id="91">
    <w:p w14:paraId="06920E40" w14:textId="10CA61CC"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See, e.g.</w:t>
      </w:r>
      <w:r w:rsidRPr="00B9018F">
        <w:t xml:space="preserve">, </w:t>
      </w:r>
      <w:r w:rsidRPr="00B9018F">
        <w:rPr>
          <w:i/>
          <w:color w:val="000000"/>
        </w:rPr>
        <w:t>T.K. Stanley</w:t>
      </w:r>
      <w:r w:rsidRPr="00B9018F">
        <w:rPr>
          <w:color w:val="000000"/>
        </w:rPr>
        <w:t>, 764 F. Supp. at 81-84.</w:t>
      </w:r>
    </w:p>
  </w:footnote>
  <w:footnote w:id="92">
    <w:p w14:paraId="3E19EBFE" w14:textId="5DA1C617" w:rsidR="009442FB" w:rsidRPr="00B9018F" w:rsidRDefault="009442FB" w:rsidP="00BD1126">
      <w:pPr>
        <w:pStyle w:val="FootnoteText"/>
        <w:ind w:left="270" w:hanging="270"/>
        <w:jc w:val="both"/>
      </w:pPr>
      <w:r w:rsidRPr="00B9018F">
        <w:rPr>
          <w:rStyle w:val="FootnoteReference"/>
        </w:rPr>
        <w:footnoteRef/>
      </w:r>
      <w:r w:rsidRPr="00B9018F">
        <w:tab/>
      </w:r>
      <w:r w:rsidRPr="00B9018F">
        <w:t>Bitco Gen. Ins. Corp. v. Monroe Guar. Ins. Co., No. SA18CV00325FBESC, 2019 WL 3459248, at *7 (W.D. Tex. July 31, 2019) (finding that evidence demonstrating the existence of a harmful condition does not impute knowledge of that condition).</w:t>
      </w:r>
    </w:p>
  </w:footnote>
  <w:footnote w:id="93">
    <w:p w14:paraId="00C150E1" w14:textId="3C611C47" w:rsidR="009442FB" w:rsidRPr="00B9018F" w:rsidRDefault="009442FB" w:rsidP="00BD1126">
      <w:pPr>
        <w:pStyle w:val="FootnoteText"/>
        <w:ind w:left="270" w:hanging="270"/>
        <w:jc w:val="both"/>
      </w:pPr>
      <w:r w:rsidRPr="00B9018F">
        <w:rPr>
          <w:rStyle w:val="FootnoteReference"/>
        </w:rPr>
        <w:footnoteRef/>
      </w:r>
      <w:r w:rsidRPr="00B9018F">
        <w:tab/>
        <w:t xml:space="preserve">Am. Guarantee &amp; </w:t>
      </w:r>
      <w:r w:rsidRPr="00B9018F">
        <w:t xml:space="preserve">Liab. Ins. Co. v. United States Fire Ins. Co., 255 F. Supp.3d 677, 692 (S.D. Tex. 2017), </w:t>
      </w:r>
      <w:r w:rsidRPr="00B9018F">
        <w:rPr>
          <w:i/>
        </w:rPr>
        <w:t xml:space="preserve">aff’d sub nom. </w:t>
      </w:r>
      <w:r w:rsidRPr="00B9018F">
        <w:t>Satterfield &amp; Pontikes Constr., Inc. v. United States Fire Ins. Co., 898 F.3d 574 (5th Cir. 2018).</w:t>
      </w:r>
    </w:p>
  </w:footnote>
  <w:footnote w:id="94">
    <w:p w14:paraId="5A8AC92B" w14:textId="55B75550" w:rsidR="009442FB" w:rsidRPr="00B9018F" w:rsidRDefault="009442FB" w:rsidP="00BD1126">
      <w:pPr>
        <w:pStyle w:val="FootnoteText"/>
        <w:ind w:left="270" w:hanging="270"/>
        <w:jc w:val="both"/>
      </w:pPr>
      <w:r w:rsidRPr="00B9018F">
        <w:rPr>
          <w:rStyle w:val="FootnoteReference"/>
        </w:rPr>
        <w:footnoteRef/>
      </w:r>
      <w:r w:rsidRPr="00B9018F">
        <w:tab/>
        <w:t xml:space="preserve">Bain Enterprises LLC v. Mountain States </w:t>
      </w:r>
      <w:r w:rsidRPr="00B9018F">
        <w:t>Mut. Cas. Co</w:t>
      </w:r>
      <w:r w:rsidRPr="00B9018F">
        <w:rPr>
          <w:i/>
        </w:rPr>
        <w:t>.</w:t>
      </w:r>
      <w:r w:rsidRPr="00B9018F">
        <w:t>, 267 F. Supp. 3d 796, 812 (W.D. Tex. 2016) (finding that, although the insured was aware of some alleged damage, it was unclear whether all damage alleged was related to the damage of which the insured had pre-policy knowledge and holding that the insurer therefore had a duty to defend).</w:t>
      </w:r>
    </w:p>
  </w:footnote>
  <w:footnote w:id="95">
    <w:p w14:paraId="16582D51" w14:textId="1297D737" w:rsidR="009442FB" w:rsidRPr="00B9018F" w:rsidRDefault="009442FB" w:rsidP="00BD1126">
      <w:pPr>
        <w:pStyle w:val="FootnoteText"/>
        <w:ind w:left="270" w:hanging="270"/>
        <w:jc w:val="both"/>
      </w:pPr>
      <w:r w:rsidRPr="00B9018F">
        <w:rPr>
          <w:rStyle w:val="FootnoteReference"/>
        </w:rPr>
        <w:footnoteRef/>
      </w:r>
      <w:r w:rsidRPr="00B9018F">
        <w:tab/>
      </w:r>
      <w:r w:rsidRPr="00B9018F">
        <w:rPr>
          <w:i/>
          <w:iCs/>
        </w:rPr>
        <w:t>See</w:t>
      </w:r>
      <w:r w:rsidRPr="00B9018F">
        <w:rPr>
          <w:iCs/>
        </w:rPr>
        <w:t xml:space="preserve"> Mid-Continent Ins. Co. v. Liberty </w:t>
      </w:r>
      <w:r w:rsidRPr="00B9018F">
        <w:rPr>
          <w:iCs/>
        </w:rPr>
        <w:t>Mut. Ins. Co</w:t>
      </w:r>
      <w:r w:rsidRPr="00B9018F">
        <w:t xml:space="preserve">., 236 S.W.3d 765 (Tex. 2007). </w:t>
      </w:r>
    </w:p>
  </w:footnote>
  <w:footnote w:id="96">
    <w:p w14:paraId="4AFBCDE2" w14:textId="019A772B"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p>
  </w:footnote>
  <w:footnote w:id="97">
    <w:p w14:paraId="0BD50ECC" w14:textId="74590E76" w:rsidR="009442FB" w:rsidRPr="00B9018F" w:rsidRDefault="009442FB" w:rsidP="00BD1126">
      <w:pPr>
        <w:pStyle w:val="FootnoteText"/>
        <w:ind w:left="270" w:hanging="270"/>
        <w:jc w:val="both"/>
      </w:pPr>
      <w:r w:rsidRPr="00B9018F">
        <w:rPr>
          <w:rStyle w:val="FootnoteReference"/>
        </w:rPr>
        <w:footnoteRef/>
      </w:r>
      <w:r w:rsidRPr="00B9018F">
        <w:tab/>
      </w:r>
      <w:r w:rsidRPr="00B9018F">
        <w:rPr>
          <w:i/>
          <w:iCs/>
        </w:rPr>
        <w:t>Compare</w:t>
      </w:r>
      <w:r w:rsidRPr="00B9018F">
        <w:rPr>
          <w:iCs/>
        </w:rPr>
        <w:t xml:space="preserve"> Trinity Univ. Ins. Co. v. Employers </w:t>
      </w:r>
      <w:r w:rsidRPr="00B9018F">
        <w:rPr>
          <w:iCs/>
        </w:rPr>
        <w:t>Mut. Cas. Co</w:t>
      </w:r>
      <w:r w:rsidRPr="00B9018F">
        <w:t xml:space="preserve">., 592 F.3d. 687 (5th Cir. 2010), </w:t>
      </w:r>
      <w:r w:rsidRPr="00B9018F">
        <w:rPr>
          <w:i/>
          <w:iCs/>
        </w:rPr>
        <w:t>with</w:t>
      </w:r>
      <w:r w:rsidRPr="00B9018F">
        <w:rPr>
          <w:iCs/>
        </w:rPr>
        <w:t xml:space="preserve"> Truck Insurance Exchange v. Mid-Continent Cas. Co.</w:t>
      </w:r>
      <w:r w:rsidRPr="00B9018F">
        <w:t xml:space="preserve">, 320 S.W.3d (Tex. App.—Austin 2010). </w:t>
      </w:r>
    </w:p>
  </w:footnote>
  <w:footnote w:id="98">
    <w:p w14:paraId="04CCED1F" w14:textId="666C04D7" w:rsidR="009442FB" w:rsidRPr="00B9018F" w:rsidRDefault="009442FB" w:rsidP="00BD1126">
      <w:pPr>
        <w:pStyle w:val="FootnoteText"/>
        <w:ind w:left="270" w:hanging="270"/>
        <w:jc w:val="both"/>
      </w:pPr>
      <w:r w:rsidRPr="00B9018F">
        <w:rPr>
          <w:rStyle w:val="FootnoteReference"/>
        </w:rPr>
        <w:footnoteRef/>
      </w:r>
      <w:r w:rsidRPr="00B9018F">
        <w:tab/>
        <w:t>881 S.W.2d 312 (Tex. 1994).</w:t>
      </w:r>
    </w:p>
  </w:footnote>
  <w:footnote w:id="99">
    <w:p w14:paraId="0AE2763B" w14:textId="5A7C0903"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at 314.</w:t>
      </w:r>
    </w:p>
  </w:footnote>
  <w:footnote w:id="100">
    <w:p w14:paraId="5A05DDBD" w14:textId="6B2F7427" w:rsidR="009442FB" w:rsidRPr="00B9018F" w:rsidRDefault="009442FB" w:rsidP="00BD1126">
      <w:pPr>
        <w:pStyle w:val="FootnoteText"/>
        <w:ind w:left="270" w:hanging="270"/>
        <w:jc w:val="both"/>
        <w:rPr>
          <w:i/>
        </w:rPr>
      </w:pPr>
      <w:r w:rsidRPr="00B9018F">
        <w:rPr>
          <w:rStyle w:val="FootnoteReference"/>
        </w:rPr>
        <w:footnoteRef/>
      </w:r>
      <w:r w:rsidRPr="00B9018F">
        <w:tab/>
      </w:r>
      <w:r w:rsidRPr="00B9018F">
        <w:rPr>
          <w:i/>
        </w:rPr>
        <w:t xml:space="preserve">See generally </w:t>
      </w:r>
      <w:r w:rsidRPr="00B9018F">
        <w:rPr>
          <w:iCs/>
        </w:rPr>
        <w:t>G.A. Stowers Furniture Co. v. American Indem. Co</w:t>
      </w:r>
      <w:r w:rsidRPr="00B9018F">
        <w:rPr>
          <w:i/>
          <w:iCs/>
        </w:rPr>
        <w:t>.</w:t>
      </w:r>
      <w:r w:rsidRPr="00B9018F">
        <w:t xml:space="preserve">, 15 S.W.2d 544 (Tex. Comm’n App. 1929) (imposing an extracontractual duty on insurers requiring generally that they accept reasonable settlement offers within policy limits). </w:t>
      </w:r>
    </w:p>
  </w:footnote>
  <w:footnote w:id="101">
    <w:p w14:paraId="02D21B05" w14:textId="55B994D3" w:rsidR="009442FB" w:rsidRPr="00B9018F" w:rsidRDefault="009442FB" w:rsidP="00BD1126">
      <w:pPr>
        <w:pStyle w:val="FootnoteText"/>
        <w:ind w:left="270" w:hanging="270"/>
        <w:jc w:val="both"/>
      </w:pPr>
      <w:r w:rsidRPr="00B9018F">
        <w:rPr>
          <w:rStyle w:val="FootnoteReference"/>
        </w:rPr>
        <w:footnoteRef/>
      </w:r>
      <w:r w:rsidRPr="00B9018F">
        <w:tab/>
      </w:r>
      <w:r w:rsidR="00130BBF">
        <w:rPr>
          <w:i/>
          <w:iCs/>
        </w:rPr>
        <w:t>Stowers</w:t>
      </w:r>
      <w:r w:rsidR="00130BBF">
        <w:rPr>
          <w:iCs/>
        </w:rPr>
        <w:t>,</w:t>
      </w:r>
      <w:r w:rsidRPr="00B9018F">
        <w:t xml:space="preserve"> 15 S.W.2d </w:t>
      </w:r>
      <w:r w:rsidR="00130BBF">
        <w:t>at 544</w:t>
      </w:r>
      <w:r w:rsidRPr="00B9018F">
        <w:t xml:space="preserve">; </w:t>
      </w:r>
      <w:r w:rsidRPr="00B9018F">
        <w:rPr>
          <w:iCs/>
        </w:rPr>
        <w:t>State Farm Lloyds Ins. Co. v. Maldonado</w:t>
      </w:r>
      <w:r w:rsidRPr="00B9018F">
        <w:t>, 963 S.W.2d 38, 41 (Tex. 1998).</w:t>
      </w:r>
    </w:p>
  </w:footnote>
  <w:footnote w:id="102">
    <w:p w14:paraId="4874355F" w14:textId="64DAB9F9" w:rsidR="009442FB" w:rsidRPr="00B9018F" w:rsidRDefault="009442FB" w:rsidP="00BD1126">
      <w:pPr>
        <w:pStyle w:val="FootnoteText"/>
        <w:ind w:left="270" w:hanging="270"/>
        <w:jc w:val="both"/>
      </w:pPr>
      <w:r w:rsidRPr="00B9018F">
        <w:rPr>
          <w:rStyle w:val="FootnoteReference"/>
        </w:rPr>
        <w:footnoteRef/>
      </w:r>
      <w:r w:rsidRPr="00B9018F">
        <w:tab/>
        <w:t xml:space="preserve">Underwriters Group, Inc. v. Clear Creek </w:t>
      </w:r>
      <w:r w:rsidRPr="00B9018F">
        <w:t>Indep. Sch. Dist., No. CIV.A. G-05-334, 2006 WL 1852254, *3 (S.D. Tex. June 30, 2006).</w:t>
      </w:r>
    </w:p>
  </w:footnote>
  <w:footnote w:id="103">
    <w:p w14:paraId="53B6A0E4" w14:textId="279E4FE4" w:rsidR="009442FB" w:rsidRPr="00F131C7" w:rsidRDefault="009442FB" w:rsidP="00BD1126">
      <w:pPr>
        <w:pStyle w:val="FootnoteText"/>
        <w:ind w:left="270" w:hanging="270"/>
        <w:jc w:val="both"/>
      </w:pPr>
      <w:r w:rsidRPr="00B9018F">
        <w:rPr>
          <w:rStyle w:val="FootnoteReference"/>
        </w:rPr>
        <w:footnoteRef/>
      </w:r>
      <w:r w:rsidRPr="00B9018F">
        <w:tab/>
      </w:r>
      <w:r w:rsidR="00F131C7">
        <w:rPr>
          <w:i/>
        </w:rPr>
        <w:t>Id</w:t>
      </w:r>
      <w:r w:rsidR="00F131C7">
        <w:t>.</w:t>
      </w:r>
    </w:p>
  </w:footnote>
  <w:footnote w:id="104">
    <w:p w14:paraId="54521DEF" w14:textId="24E04EFD" w:rsidR="009442FB" w:rsidRPr="00B9018F" w:rsidRDefault="009442FB" w:rsidP="00BD1126">
      <w:pPr>
        <w:pStyle w:val="FootnoteText"/>
        <w:ind w:left="270" w:hanging="270"/>
        <w:jc w:val="both"/>
      </w:pPr>
      <w:r w:rsidRPr="00B9018F">
        <w:rPr>
          <w:rStyle w:val="FootnoteReference"/>
        </w:rPr>
        <w:footnoteRef/>
      </w:r>
      <w:r w:rsidRPr="00B9018F">
        <w:tab/>
        <w:t xml:space="preserve">Rhoades v. Casey, 196 F.3d 592, 600 (5th Cir. 1999). </w:t>
      </w:r>
    </w:p>
  </w:footnote>
  <w:footnote w:id="105">
    <w:p w14:paraId="5255AB3E" w14:textId="1E8C98A4"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w:t>
      </w:r>
    </w:p>
  </w:footnote>
  <w:footnote w:id="106">
    <w:p w14:paraId="3207E00E" w14:textId="450ECE9F" w:rsidR="009442FB" w:rsidRPr="00B9018F" w:rsidRDefault="009442FB" w:rsidP="00BD1126">
      <w:pPr>
        <w:pStyle w:val="FootnoteText"/>
        <w:ind w:left="270" w:hanging="270"/>
        <w:jc w:val="both"/>
      </w:pPr>
      <w:r w:rsidRPr="00B9018F">
        <w:rPr>
          <w:rStyle w:val="FootnoteReference"/>
        </w:rPr>
        <w:footnoteRef/>
      </w:r>
      <w:r w:rsidRPr="00B9018F">
        <w:tab/>
        <w:t xml:space="preserve">Chaucer Corporate Capital, No. 2 Ltd. v. </w:t>
      </w:r>
      <w:r w:rsidRPr="00B9018F">
        <w:t xml:space="preserve">Vill. Contractors, Inc., No. CIV.A. 09-2701, 2010 WL 3702609 (S.D. Tex. Sept. 15, 2010). </w:t>
      </w:r>
    </w:p>
  </w:footnote>
  <w:footnote w:id="107">
    <w:p w14:paraId="640FC943" w14:textId="0460F574" w:rsidR="009442FB" w:rsidRPr="00B9018F" w:rsidRDefault="009442FB" w:rsidP="00BD1126">
      <w:pPr>
        <w:pStyle w:val="FootnoteText"/>
        <w:ind w:left="270" w:hanging="270"/>
        <w:jc w:val="both"/>
      </w:pPr>
      <w:r w:rsidRPr="00B9018F">
        <w:rPr>
          <w:rStyle w:val="FootnoteReference"/>
        </w:rPr>
        <w:footnoteRef/>
      </w:r>
      <w:r w:rsidRPr="00B9018F">
        <w:tab/>
      </w:r>
      <w:r w:rsidRPr="00B9018F">
        <w:rPr>
          <w:i/>
          <w:iCs/>
        </w:rPr>
        <w:t xml:space="preserve">See </w:t>
      </w:r>
      <w:r w:rsidRPr="00B9018F">
        <w:rPr>
          <w:iCs/>
        </w:rPr>
        <w:t>Travelers Ins. Co. v. First Nat’l Bank of Shreveport,</w:t>
      </w:r>
      <w:r w:rsidRPr="00B9018F">
        <w:t xml:space="preserve"> 675 F.2d 633, 637, n.9 (5th Cir. 1982). </w:t>
      </w:r>
    </w:p>
  </w:footnote>
  <w:footnote w:id="108">
    <w:p w14:paraId="7923C06B" w14:textId="2DBAB664" w:rsidR="009442FB" w:rsidRPr="00B9018F" w:rsidRDefault="009442FB" w:rsidP="00BD1126">
      <w:pPr>
        <w:pStyle w:val="FootnoteText"/>
        <w:ind w:left="270" w:hanging="270"/>
        <w:jc w:val="both"/>
      </w:pPr>
      <w:r w:rsidRPr="00B9018F">
        <w:rPr>
          <w:rStyle w:val="FootnoteReference"/>
        </w:rPr>
        <w:footnoteRef/>
      </w:r>
      <w:r w:rsidRPr="00B9018F">
        <w:tab/>
      </w:r>
      <w:r w:rsidRPr="00B9018F">
        <w:rPr>
          <w:i/>
          <w:iCs/>
        </w:rPr>
        <w:t xml:space="preserve">See </w:t>
      </w:r>
      <w:r w:rsidRPr="00B9018F">
        <w:rPr>
          <w:iCs/>
        </w:rPr>
        <w:t>State Farm Fire &amp; Cas. Co. v. Tashire,</w:t>
      </w:r>
      <w:r w:rsidRPr="00B9018F">
        <w:t xml:space="preserve"> 386 U.S. 523 (1967).</w:t>
      </w:r>
    </w:p>
  </w:footnote>
  <w:footnote w:id="109">
    <w:p w14:paraId="76DDA809" w14:textId="7F6BB005"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Chaucer</w:t>
      </w:r>
      <w:r w:rsidRPr="00B9018F">
        <w:t>, 2010 WL 3702609 at *3</w:t>
      </w:r>
      <w:r w:rsidR="00F131C7">
        <w:t>.</w:t>
      </w:r>
    </w:p>
  </w:footnote>
  <w:footnote w:id="110">
    <w:p w14:paraId="3FA06894" w14:textId="277B3D25" w:rsidR="009442FB" w:rsidRPr="00B9018F" w:rsidRDefault="009442FB" w:rsidP="00BD1126">
      <w:pPr>
        <w:pStyle w:val="FootnoteText"/>
        <w:ind w:left="270" w:hanging="270"/>
        <w:jc w:val="both"/>
      </w:pPr>
      <w:r w:rsidRPr="00B9018F">
        <w:rPr>
          <w:rStyle w:val="FootnoteReference"/>
        </w:rPr>
        <w:footnoteRef/>
      </w:r>
      <w:r w:rsidRPr="00B9018F">
        <w:tab/>
        <w:t xml:space="preserve">Young v. </w:t>
      </w:r>
      <w:r w:rsidRPr="00B9018F">
        <w:t>Gumfory, 322 S.W.3d 731 (Tex. App.—Dallas 2010).</w:t>
      </w:r>
    </w:p>
  </w:footnote>
  <w:footnote w:id="111">
    <w:p w14:paraId="277055B1" w14:textId="22AB8BD2" w:rsidR="009442FB" w:rsidRPr="00B9018F" w:rsidRDefault="009442FB" w:rsidP="00BD1126">
      <w:pPr>
        <w:pStyle w:val="FootnoteText"/>
        <w:ind w:left="270" w:hanging="270"/>
        <w:jc w:val="both"/>
      </w:pPr>
      <w:r w:rsidRPr="00B9018F">
        <w:rPr>
          <w:rStyle w:val="FootnoteReference"/>
        </w:rPr>
        <w:footnoteRef/>
      </w:r>
      <w:r w:rsidRPr="00B9018F">
        <w:tab/>
        <w:t>State Farm Life Ins. Co. v. Martinez, 216 S.W.3d 799 (Tex. 2007).</w:t>
      </w:r>
    </w:p>
  </w:footnote>
  <w:footnote w:id="112">
    <w:p w14:paraId="2EDF4803" w14:textId="0362449C" w:rsidR="009442FB" w:rsidRPr="00B9018F" w:rsidRDefault="009442FB" w:rsidP="00BD1126">
      <w:pPr>
        <w:pStyle w:val="FootnoteText"/>
        <w:ind w:left="270" w:hanging="270"/>
        <w:jc w:val="both"/>
      </w:pPr>
      <w:r w:rsidRPr="00B9018F">
        <w:rPr>
          <w:rStyle w:val="FootnoteReference"/>
        </w:rPr>
        <w:footnoteRef/>
      </w:r>
      <w:r w:rsidRPr="00B9018F">
        <w:tab/>
      </w:r>
      <w:r w:rsidRPr="00B9018F">
        <w:t>Heggy v. American Trading Employee Retirement Account Plan, 123 S.W.3d 770, 775 (Tex. App.—Houston [14th Dist.] 2003, pet. denied).</w:t>
      </w:r>
    </w:p>
  </w:footnote>
  <w:footnote w:id="113">
    <w:p w14:paraId="56A02015" w14:textId="4093E65B"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 xml:space="preserve">See </w:t>
      </w:r>
      <w:r w:rsidRPr="00B9018F">
        <w:t xml:space="preserve">Rochelle v. Pac. Exp. Co., 120 S.W. 543 (Tex. Civ. App. 1909, no writ). Gillespie v. Citizens Nat. Bank of Weatherford, 97 S.W.2d 310 (Tex. Civ. App. Texarkana 1936); Van </w:t>
      </w:r>
      <w:r w:rsidRPr="00B9018F">
        <w:t>Slyck v. Dallas Bank &amp; Trust Co., 45 S.W.2d 641 (Tex. Civ. App. Dallas 1931).</w:t>
      </w:r>
    </w:p>
  </w:footnote>
  <w:footnote w:id="114">
    <w:p w14:paraId="29C93F43" w14:textId="5EF12346"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 xml:space="preserve">See </w:t>
      </w:r>
      <w:r w:rsidRPr="00B9018F">
        <w:t>Petro Source v. 3-B Rattlesnake Refining, 905 S.W.2d 371, 378-379 (Tex. App.—El Paso 1995, writ denied).</w:t>
      </w:r>
    </w:p>
  </w:footnote>
  <w:footnote w:id="115">
    <w:p w14:paraId="1434C834" w14:textId="0888A222"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See, e.g.</w:t>
      </w:r>
      <w:r w:rsidRPr="00B9018F">
        <w:t>,</w:t>
      </w:r>
      <w:r w:rsidRPr="00B9018F">
        <w:rPr>
          <w:i/>
        </w:rPr>
        <w:t xml:space="preserve"> </w:t>
      </w:r>
      <w:r w:rsidRPr="00B9018F">
        <w:t>Cable Communications Network, Inc. v. Aetna Casualty &amp; Surety Co., 838 S.W.2d 947, 950–51 (Tex. App.—Houston [14th Dist.] 1992, no writ).</w:t>
      </w:r>
    </w:p>
  </w:footnote>
  <w:footnote w:id="116">
    <w:p w14:paraId="5A7666CB" w14:textId="39A4FA6E" w:rsidR="009442FB" w:rsidRPr="00B9018F" w:rsidRDefault="009442FB" w:rsidP="00BD1126">
      <w:pPr>
        <w:pStyle w:val="FootnoteText"/>
        <w:ind w:left="270" w:hanging="270"/>
        <w:jc w:val="both"/>
      </w:pPr>
      <w:r w:rsidRPr="00B9018F">
        <w:rPr>
          <w:rStyle w:val="FootnoteReference"/>
        </w:rPr>
        <w:footnoteRef/>
      </w:r>
      <w:r w:rsidRPr="00B9018F">
        <w:tab/>
      </w:r>
      <w:r w:rsidRPr="00B9018F">
        <w:rPr>
          <w:i/>
        </w:rPr>
        <w:t>Id</w:t>
      </w:r>
      <w:r w:rsidRPr="00B9018F">
        <w:t xml:space="preserve">. (citing </w:t>
      </w:r>
      <w:r w:rsidRPr="00B9018F">
        <w:t>Holmquist v. Occidental Life Ins. Co. of Calif., 536 S.W.2d 434, 437 (Tex.Civ.App.—Houston [14th Dist.] 1976, writ ref’d n.r.e)).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A4DD" w14:textId="77777777" w:rsidR="009442FB" w:rsidRDefault="009442FB">
    <w:pPr>
      <w:pStyle w:val="Header"/>
    </w:pPr>
    <w:r>
      <w:rPr>
        <w:noProof/>
      </w:rPr>
      <w:drawing>
        <wp:inline distT="0" distB="0" distL="0" distR="0" wp14:anchorId="18DFD629" wp14:editId="62E2F8CA">
          <wp:extent cx="463663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C_2016.jpg"/>
                  <pic:cNvPicPr/>
                </pic:nvPicPr>
                <pic:blipFill>
                  <a:blip r:embed="rId1">
                    <a:extLst>
                      <a:ext uri="{28A0092B-C50C-407E-A947-70E740481C1C}">
                        <a14:useLocalDpi xmlns:a14="http://schemas.microsoft.com/office/drawing/2010/main" val="0"/>
                      </a:ext>
                    </a:extLst>
                  </a:blip>
                  <a:stretch>
                    <a:fillRect/>
                  </a:stretch>
                </pic:blipFill>
                <pic:spPr>
                  <a:xfrm>
                    <a:off x="0" y="0"/>
                    <a:ext cx="4644353" cy="1221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C0E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2CC3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7EC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9607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6AD2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A2F9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DC10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F8E6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9A70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CF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26407"/>
    <w:multiLevelType w:val="multilevel"/>
    <w:tmpl w:val="D996118A"/>
    <w:name w:val="BHB Standard-Scheme 1"/>
    <w:lvl w:ilvl="0">
      <w:start w:val="1"/>
      <w:numFmt w:val="none"/>
      <w:pStyle w:val="Heading1"/>
      <w:suff w:val="nothing"/>
      <w:lvlText w:val=""/>
      <w:lvlJc w:val="left"/>
      <w:pPr>
        <w:tabs>
          <w:tab w:val="num" w:pos="0"/>
        </w:tabs>
        <w:ind w:left="1440" w:firstLine="0"/>
      </w:pPr>
      <w:rPr>
        <w:b/>
        <w:i w:val="0"/>
        <w:caps w:val="0"/>
        <w:color w:val="010000"/>
        <w:u w:val="none"/>
      </w:rPr>
    </w:lvl>
    <w:lvl w:ilvl="1">
      <w:start w:val="1"/>
      <w:numFmt w:val="decimal"/>
      <w:pStyle w:val="Heading2"/>
      <w:lvlText w:val="%2."/>
      <w:lvlJc w:val="left"/>
      <w:pPr>
        <w:tabs>
          <w:tab w:val="num" w:pos="720"/>
        </w:tabs>
        <w:ind w:left="720" w:hanging="720"/>
      </w:pPr>
      <w:rPr>
        <w:b/>
        <w:i w:val="0"/>
        <w:caps w:val="0"/>
        <w:color w:val="010000"/>
        <w:u w:val="none"/>
      </w:rPr>
    </w:lvl>
    <w:lvl w:ilvl="2">
      <w:start w:val="1"/>
      <w:numFmt w:val="upperLetter"/>
      <w:pStyle w:val="Heading3"/>
      <w:lvlText w:val="%3."/>
      <w:lvlJc w:val="left"/>
      <w:pPr>
        <w:tabs>
          <w:tab w:val="num" w:pos="1440"/>
        </w:tabs>
        <w:ind w:left="1440" w:hanging="720"/>
      </w:pPr>
      <w:rPr>
        <w:b/>
        <w:i w:val="0"/>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2880"/>
        </w:tabs>
        <w:ind w:left="2880" w:hanging="720"/>
      </w:pPr>
      <w:rPr>
        <w:caps w:val="0"/>
        <w:color w:val="010000"/>
        <w:u w:val="none"/>
      </w:rPr>
    </w:lvl>
    <w:lvl w:ilvl="5">
      <w:start w:val="1"/>
      <w:numFmt w:val="lowerRoman"/>
      <w:pStyle w:val="Heading6"/>
      <w:lvlText w:val="(%6)"/>
      <w:lvlJc w:val="left"/>
      <w:pPr>
        <w:tabs>
          <w:tab w:val="num" w:pos="3600"/>
        </w:tabs>
        <w:ind w:left="3600" w:hanging="720"/>
      </w:pPr>
      <w:rPr>
        <w:caps w:val="0"/>
        <w:color w:val="010000"/>
        <w:u w:val="none"/>
      </w:rPr>
    </w:lvl>
    <w:lvl w:ilvl="6">
      <w:start w:val="1"/>
      <w:numFmt w:val="decimal"/>
      <w:pStyle w:val="Heading7"/>
      <w:lvlText w:val="%7)"/>
      <w:lvlJc w:val="left"/>
      <w:pPr>
        <w:tabs>
          <w:tab w:val="num" w:pos="4320"/>
        </w:tabs>
        <w:ind w:left="4320" w:hanging="720"/>
      </w:pPr>
      <w:rPr>
        <w:caps w:val="0"/>
        <w:color w:val="010000"/>
        <w:u w:val="none"/>
      </w:rPr>
    </w:lvl>
    <w:lvl w:ilvl="7">
      <w:start w:val="1"/>
      <w:numFmt w:val="lowerLetter"/>
      <w:pStyle w:val="Heading8"/>
      <w:lvlText w:val="%8)"/>
      <w:lvlJc w:val="left"/>
      <w:pPr>
        <w:tabs>
          <w:tab w:val="num" w:pos="5040"/>
        </w:tabs>
        <w:ind w:left="5040" w:hanging="720"/>
      </w:pPr>
      <w:rPr>
        <w:caps w:val="0"/>
        <w:smallCaps w:val="0"/>
        <w:color w:val="010000"/>
        <w:u w:val="none"/>
      </w:rPr>
    </w:lvl>
    <w:lvl w:ilvl="8">
      <w:start w:val="1"/>
      <w:numFmt w:val="lowerRoman"/>
      <w:pStyle w:val="Heading9"/>
      <w:lvlText w:val="%9)"/>
      <w:lvlJc w:val="left"/>
      <w:pPr>
        <w:tabs>
          <w:tab w:val="num" w:pos="5760"/>
        </w:tabs>
        <w:ind w:left="5760" w:hanging="720"/>
      </w:pPr>
      <w:rPr>
        <w:caps w:val="0"/>
        <w:smallCaps w:val="0"/>
        <w:color w:val="010000"/>
        <w:u w:val="none"/>
      </w:rPr>
    </w:lvl>
  </w:abstractNum>
  <w:abstractNum w:abstractNumId="11" w15:restartNumberingAfterBreak="0">
    <w:nsid w:val="0A8254CA"/>
    <w:multiLevelType w:val="multilevel"/>
    <w:tmpl w:val="DF52E7C6"/>
    <w:lvl w:ilvl="0">
      <w:start w:val="1"/>
      <w:numFmt w:val="none"/>
      <w:suff w:val="nothing"/>
      <w:lvlText w:val=""/>
      <w:lvlJc w:val="left"/>
      <w:pPr>
        <w:ind w:left="0" w:firstLine="0"/>
      </w:pPr>
      <w:rPr>
        <w:rFonts w:hint="default"/>
      </w:rPr>
    </w:lvl>
    <w:lvl w:ilvl="1">
      <w:start w:val="1"/>
      <w:numFmt w:val="decimal"/>
      <w:lvlText w:val="%2."/>
      <w:lvlJc w:val="left"/>
      <w:pPr>
        <w:ind w:left="720" w:hanging="720"/>
      </w:pPr>
      <w:rPr>
        <w:rFonts w:hint="default"/>
      </w:rPr>
    </w:lvl>
    <w:lvl w:ilvl="2">
      <w:start w:val="1"/>
      <w:numFmt w:val="upperLetter"/>
      <w:lvlText w:val="%3."/>
      <w:lvlJc w:val="left"/>
      <w:pPr>
        <w:tabs>
          <w:tab w:val="num" w:pos="720"/>
        </w:tabs>
        <w:ind w:left="1440" w:hanging="720"/>
      </w:pPr>
      <w:rPr>
        <w:rFonts w:hint="default"/>
      </w:rPr>
    </w:lvl>
    <w:lvl w:ilvl="3">
      <w:start w:val="1"/>
      <w:numFmt w:val="lowerRoman"/>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3F85F51"/>
    <w:multiLevelType w:val="hybridMultilevel"/>
    <w:tmpl w:val="D61A5F4C"/>
    <w:name w:val="TCCI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C95CA5"/>
    <w:multiLevelType w:val="hybridMultilevel"/>
    <w:tmpl w:val="0F989E1A"/>
    <w:lvl w:ilvl="0" w:tplc="E0363036">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AC52B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F9"/>
    <w:rsid w:val="00000D4D"/>
    <w:rsid w:val="00003047"/>
    <w:rsid w:val="00010DB6"/>
    <w:rsid w:val="0001393E"/>
    <w:rsid w:val="00015469"/>
    <w:rsid w:val="00017569"/>
    <w:rsid w:val="00020966"/>
    <w:rsid w:val="00024B54"/>
    <w:rsid w:val="00026B08"/>
    <w:rsid w:val="00031473"/>
    <w:rsid w:val="00043F82"/>
    <w:rsid w:val="00045C2B"/>
    <w:rsid w:val="0004663F"/>
    <w:rsid w:val="00061236"/>
    <w:rsid w:val="00064338"/>
    <w:rsid w:val="00066412"/>
    <w:rsid w:val="00066CEE"/>
    <w:rsid w:val="00067A6A"/>
    <w:rsid w:val="00070152"/>
    <w:rsid w:val="00071CF9"/>
    <w:rsid w:val="000846C3"/>
    <w:rsid w:val="00087493"/>
    <w:rsid w:val="00090912"/>
    <w:rsid w:val="0009281F"/>
    <w:rsid w:val="0009644A"/>
    <w:rsid w:val="00096C45"/>
    <w:rsid w:val="000A13E8"/>
    <w:rsid w:val="000A1CD5"/>
    <w:rsid w:val="000A338B"/>
    <w:rsid w:val="000B1B1C"/>
    <w:rsid w:val="000B5CD8"/>
    <w:rsid w:val="000C04B9"/>
    <w:rsid w:val="000C13A0"/>
    <w:rsid w:val="000C3E14"/>
    <w:rsid w:val="000C61DA"/>
    <w:rsid w:val="000D304B"/>
    <w:rsid w:val="000E0621"/>
    <w:rsid w:val="000F03B1"/>
    <w:rsid w:val="000F71D4"/>
    <w:rsid w:val="000F7353"/>
    <w:rsid w:val="000F779E"/>
    <w:rsid w:val="001006FA"/>
    <w:rsid w:val="00113392"/>
    <w:rsid w:val="001133F2"/>
    <w:rsid w:val="00113DA4"/>
    <w:rsid w:val="00115435"/>
    <w:rsid w:val="00120DD4"/>
    <w:rsid w:val="0012383B"/>
    <w:rsid w:val="00130BBF"/>
    <w:rsid w:val="001332B0"/>
    <w:rsid w:val="00141D43"/>
    <w:rsid w:val="0015024F"/>
    <w:rsid w:val="00152517"/>
    <w:rsid w:val="00154E1F"/>
    <w:rsid w:val="00156998"/>
    <w:rsid w:val="00161B8D"/>
    <w:rsid w:val="0016302A"/>
    <w:rsid w:val="001631E0"/>
    <w:rsid w:val="00165D66"/>
    <w:rsid w:val="00170F4B"/>
    <w:rsid w:val="00172CCD"/>
    <w:rsid w:val="00176683"/>
    <w:rsid w:val="00177D1B"/>
    <w:rsid w:val="0018162A"/>
    <w:rsid w:val="00186585"/>
    <w:rsid w:val="001867D8"/>
    <w:rsid w:val="001878DF"/>
    <w:rsid w:val="001879ED"/>
    <w:rsid w:val="001929C4"/>
    <w:rsid w:val="00193840"/>
    <w:rsid w:val="00196304"/>
    <w:rsid w:val="00196EF5"/>
    <w:rsid w:val="001A2929"/>
    <w:rsid w:val="001A7D4D"/>
    <w:rsid w:val="001B2F0B"/>
    <w:rsid w:val="001B50F0"/>
    <w:rsid w:val="001B526F"/>
    <w:rsid w:val="001B54C2"/>
    <w:rsid w:val="001B69FC"/>
    <w:rsid w:val="001B726A"/>
    <w:rsid w:val="001C233D"/>
    <w:rsid w:val="001C3110"/>
    <w:rsid w:val="001D0A1F"/>
    <w:rsid w:val="001D0D0B"/>
    <w:rsid w:val="001E2B2D"/>
    <w:rsid w:val="001E3389"/>
    <w:rsid w:val="001F0F83"/>
    <w:rsid w:val="00203ACA"/>
    <w:rsid w:val="0021241D"/>
    <w:rsid w:val="002166FE"/>
    <w:rsid w:val="00220A07"/>
    <w:rsid w:val="00220F48"/>
    <w:rsid w:val="00222438"/>
    <w:rsid w:val="002229BD"/>
    <w:rsid w:val="00222F66"/>
    <w:rsid w:val="002235A9"/>
    <w:rsid w:val="00224802"/>
    <w:rsid w:val="0022485B"/>
    <w:rsid w:val="002279DE"/>
    <w:rsid w:val="002335BD"/>
    <w:rsid w:val="00246DCD"/>
    <w:rsid w:val="002516E5"/>
    <w:rsid w:val="00255926"/>
    <w:rsid w:val="00256C58"/>
    <w:rsid w:val="002570FB"/>
    <w:rsid w:val="00264B2D"/>
    <w:rsid w:val="002709E0"/>
    <w:rsid w:val="00270E2C"/>
    <w:rsid w:val="0027506B"/>
    <w:rsid w:val="002751FF"/>
    <w:rsid w:val="002771C6"/>
    <w:rsid w:val="00277B3D"/>
    <w:rsid w:val="0028213C"/>
    <w:rsid w:val="002828DB"/>
    <w:rsid w:val="0028599B"/>
    <w:rsid w:val="00286FBB"/>
    <w:rsid w:val="00294341"/>
    <w:rsid w:val="00295E14"/>
    <w:rsid w:val="002A52A7"/>
    <w:rsid w:val="002A72DE"/>
    <w:rsid w:val="002B6259"/>
    <w:rsid w:val="002B6C2F"/>
    <w:rsid w:val="002C4D26"/>
    <w:rsid w:val="002D407F"/>
    <w:rsid w:val="002E0409"/>
    <w:rsid w:val="002E1C18"/>
    <w:rsid w:val="002E22D3"/>
    <w:rsid w:val="002F31A8"/>
    <w:rsid w:val="00305285"/>
    <w:rsid w:val="00306A28"/>
    <w:rsid w:val="00306D8B"/>
    <w:rsid w:val="003073A7"/>
    <w:rsid w:val="0031068A"/>
    <w:rsid w:val="00314B0D"/>
    <w:rsid w:val="00320A1F"/>
    <w:rsid w:val="00320FCD"/>
    <w:rsid w:val="0032520E"/>
    <w:rsid w:val="00327DE4"/>
    <w:rsid w:val="00334ECA"/>
    <w:rsid w:val="00343ED7"/>
    <w:rsid w:val="003468E1"/>
    <w:rsid w:val="00350024"/>
    <w:rsid w:val="0036134A"/>
    <w:rsid w:val="00361E60"/>
    <w:rsid w:val="00363309"/>
    <w:rsid w:val="003647DD"/>
    <w:rsid w:val="00370224"/>
    <w:rsid w:val="00386D58"/>
    <w:rsid w:val="003879AB"/>
    <w:rsid w:val="00396554"/>
    <w:rsid w:val="00396CB8"/>
    <w:rsid w:val="00397887"/>
    <w:rsid w:val="00397AB7"/>
    <w:rsid w:val="003A2692"/>
    <w:rsid w:val="003A28A1"/>
    <w:rsid w:val="003A2E72"/>
    <w:rsid w:val="003A5A51"/>
    <w:rsid w:val="003A5AC5"/>
    <w:rsid w:val="003A5B6D"/>
    <w:rsid w:val="003B2010"/>
    <w:rsid w:val="003B4F54"/>
    <w:rsid w:val="003D78E8"/>
    <w:rsid w:val="003D7AAA"/>
    <w:rsid w:val="003E6206"/>
    <w:rsid w:val="003F00C2"/>
    <w:rsid w:val="003F1150"/>
    <w:rsid w:val="003F130C"/>
    <w:rsid w:val="003F5EC6"/>
    <w:rsid w:val="004011F2"/>
    <w:rsid w:val="00403EA1"/>
    <w:rsid w:val="00404D83"/>
    <w:rsid w:val="00406979"/>
    <w:rsid w:val="00406B97"/>
    <w:rsid w:val="00410157"/>
    <w:rsid w:val="0041564D"/>
    <w:rsid w:val="0041783E"/>
    <w:rsid w:val="00425594"/>
    <w:rsid w:val="0042766F"/>
    <w:rsid w:val="00441453"/>
    <w:rsid w:val="00442FB1"/>
    <w:rsid w:val="00443C6A"/>
    <w:rsid w:val="004447FD"/>
    <w:rsid w:val="00456DBE"/>
    <w:rsid w:val="00460494"/>
    <w:rsid w:val="00470A4B"/>
    <w:rsid w:val="004739C0"/>
    <w:rsid w:val="004740DE"/>
    <w:rsid w:val="0049378F"/>
    <w:rsid w:val="004953E8"/>
    <w:rsid w:val="004A28E6"/>
    <w:rsid w:val="004A2C25"/>
    <w:rsid w:val="004A3F1B"/>
    <w:rsid w:val="004B270D"/>
    <w:rsid w:val="004B27AA"/>
    <w:rsid w:val="004C226D"/>
    <w:rsid w:val="004C2732"/>
    <w:rsid w:val="004D3DDE"/>
    <w:rsid w:val="004D5769"/>
    <w:rsid w:val="004D6927"/>
    <w:rsid w:val="004F4D6D"/>
    <w:rsid w:val="00501799"/>
    <w:rsid w:val="00507D27"/>
    <w:rsid w:val="00510333"/>
    <w:rsid w:val="00522082"/>
    <w:rsid w:val="00525DB1"/>
    <w:rsid w:val="00526EFF"/>
    <w:rsid w:val="00527389"/>
    <w:rsid w:val="0053186E"/>
    <w:rsid w:val="00542745"/>
    <w:rsid w:val="00544144"/>
    <w:rsid w:val="00562331"/>
    <w:rsid w:val="00563586"/>
    <w:rsid w:val="005646A9"/>
    <w:rsid w:val="005718F9"/>
    <w:rsid w:val="00572ADF"/>
    <w:rsid w:val="00573090"/>
    <w:rsid w:val="00591561"/>
    <w:rsid w:val="005948F7"/>
    <w:rsid w:val="0059791C"/>
    <w:rsid w:val="00597B69"/>
    <w:rsid w:val="00597EED"/>
    <w:rsid w:val="005A2E4F"/>
    <w:rsid w:val="005A3E32"/>
    <w:rsid w:val="005A4AFF"/>
    <w:rsid w:val="005B4A77"/>
    <w:rsid w:val="005C49FC"/>
    <w:rsid w:val="005D2DD7"/>
    <w:rsid w:val="005D3459"/>
    <w:rsid w:val="005E2684"/>
    <w:rsid w:val="005E3C7F"/>
    <w:rsid w:val="005E7218"/>
    <w:rsid w:val="005E74A5"/>
    <w:rsid w:val="005E7E2C"/>
    <w:rsid w:val="005F489E"/>
    <w:rsid w:val="00610C64"/>
    <w:rsid w:val="00620382"/>
    <w:rsid w:val="00620C99"/>
    <w:rsid w:val="006254E0"/>
    <w:rsid w:val="00625C70"/>
    <w:rsid w:val="00641CA8"/>
    <w:rsid w:val="0064253C"/>
    <w:rsid w:val="00650CB2"/>
    <w:rsid w:val="00651C61"/>
    <w:rsid w:val="00655AC6"/>
    <w:rsid w:val="00656862"/>
    <w:rsid w:val="006607FC"/>
    <w:rsid w:val="006723AE"/>
    <w:rsid w:val="00672E6A"/>
    <w:rsid w:val="00674401"/>
    <w:rsid w:val="00681873"/>
    <w:rsid w:val="00684BA0"/>
    <w:rsid w:val="00686AD7"/>
    <w:rsid w:val="006879CF"/>
    <w:rsid w:val="006927FA"/>
    <w:rsid w:val="00693A10"/>
    <w:rsid w:val="006A4411"/>
    <w:rsid w:val="006A5E2B"/>
    <w:rsid w:val="006A7C71"/>
    <w:rsid w:val="006B0218"/>
    <w:rsid w:val="006B03B7"/>
    <w:rsid w:val="006C35F7"/>
    <w:rsid w:val="006C658D"/>
    <w:rsid w:val="006D5559"/>
    <w:rsid w:val="006D78F7"/>
    <w:rsid w:val="006E11AA"/>
    <w:rsid w:val="006E4131"/>
    <w:rsid w:val="006E5027"/>
    <w:rsid w:val="006F0266"/>
    <w:rsid w:val="006F4A1A"/>
    <w:rsid w:val="007033FB"/>
    <w:rsid w:val="007065D9"/>
    <w:rsid w:val="00711D87"/>
    <w:rsid w:val="007147D6"/>
    <w:rsid w:val="0071530B"/>
    <w:rsid w:val="00715EA1"/>
    <w:rsid w:val="00717185"/>
    <w:rsid w:val="007204BC"/>
    <w:rsid w:val="00722019"/>
    <w:rsid w:val="00732DB3"/>
    <w:rsid w:val="00734029"/>
    <w:rsid w:val="0073738A"/>
    <w:rsid w:val="007402AC"/>
    <w:rsid w:val="007421D6"/>
    <w:rsid w:val="00745C7B"/>
    <w:rsid w:val="00753F1C"/>
    <w:rsid w:val="007610A7"/>
    <w:rsid w:val="00764B32"/>
    <w:rsid w:val="00764CCE"/>
    <w:rsid w:val="0076663C"/>
    <w:rsid w:val="00771BC2"/>
    <w:rsid w:val="007738E2"/>
    <w:rsid w:val="00775677"/>
    <w:rsid w:val="007763B4"/>
    <w:rsid w:val="00782D15"/>
    <w:rsid w:val="0079030E"/>
    <w:rsid w:val="00792EB9"/>
    <w:rsid w:val="00794F45"/>
    <w:rsid w:val="007A7231"/>
    <w:rsid w:val="007A7739"/>
    <w:rsid w:val="007A7F7A"/>
    <w:rsid w:val="007C27E3"/>
    <w:rsid w:val="007C4234"/>
    <w:rsid w:val="007C5AAE"/>
    <w:rsid w:val="007C5EAD"/>
    <w:rsid w:val="007D4443"/>
    <w:rsid w:val="007E1163"/>
    <w:rsid w:val="007E6286"/>
    <w:rsid w:val="007E657C"/>
    <w:rsid w:val="007F0E0B"/>
    <w:rsid w:val="007F21B9"/>
    <w:rsid w:val="007F3D29"/>
    <w:rsid w:val="007F4666"/>
    <w:rsid w:val="007F683A"/>
    <w:rsid w:val="00801A53"/>
    <w:rsid w:val="00802514"/>
    <w:rsid w:val="00806207"/>
    <w:rsid w:val="008122F3"/>
    <w:rsid w:val="00820E43"/>
    <w:rsid w:val="00822937"/>
    <w:rsid w:val="00825E2C"/>
    <w:rsid w:val="008262AF"/>
    <w:rsid w:val="00830639"/>
    <w:rsid w:val="00831D67"/>
    <w:rsid w:val="00833530"/>
    <w:rsid w:val="008341EF"/>
    <w:rsid w:val="008357BD"/>
    <w:rsid w:val="00841765"/>
    <w:rsid w:val="008450A6"/>
    <w:rsid w:val="008455A0"/>
    <w:rsid w:val="00850919"/>
    <w:rsid w:val="008564AC"/>
    <w:rsid w:val="00862031"/>
    <w:rsid w:val="008624F4"/>
    <w:rsid w:val="0086447C"/>
    <w:rsid w:val="00871A67"/>
    <w:rsid w:val="00873753"/>
    <w:rsid w:val="00874694"/>
    <w:rsid w:val="008779A8"/>
    <w:rsid w:val="00877F88"/>
    <w:rsid w:val="008815B8"/>
    <w:rsid w:val="0088215B"/>
    <w:rsid w:val="00885B24"/>
    <w:rsid w:val="00886AE8"/>
    <w:rsid w:val="00897271"/>
    <w:rsid w:val="008977FE"/>
    <w:rsid w:val="008A26C1"/>
    <w:rsid w:val="008B0B05"/>
    <w:rsid w:val="008B1B1C"/>
    <w:rsid w:val="008B37FF"/>
    <w:rsid w:val="008C448C"/>
    <w:rsid w:val="008D135D"/>
    <w:rsid w:val="008D2C13"/>
    <w:rsid w:val="008D2F22"/>
    <w:rsid w:val="008D5AC9"/>
    <w:rsid w:val="008D5CB0"/>
    <w:rsid w:val="008E334B"/>
    <w:rsid w:val="008E43F1"/>
    <w:rsid w:val="008E46C9"/>
    <w:rsid w:val="008E7C3A"/>
    <w:rsid w:val="008F0619"/>
    <w:rsid w:val="008F0750"/>
    <w:rsid w:val="008F7470"/>
    <w:rsid w:val="009009B3"/>
    <w:rsid w:val="009014B2"/>
    <w:rsid w:val="00903859"/>
    <w:rsid w:val="00904955"/>
    <w:rsid w:val="00905A1C"/>
    <w:rsid w:val="00910120"/>
    <w:rsid w:val="00912E03"/>
    <w:rsid w:val="0091516C"/>
    <w:rsid w:val="009153E7"/>
    <w:rsid w:val="0092072C"/>
    <w:rsid w:val="009218DE"/>
    <w:rsid w:val="00926025"/>
    <w:rsid w:val="00926C7B"/>
    <w:rsid w:val="0093578C"/>
    <w:rsid w:val="009418E1"/>
    <w:rsid w:val="00941B28"/>
    <w:rsid w:val="009442FB"/>
    <w:rsid w:val="0095076F"/>
    <w:rsid w:val="00952B30"/>
    <w:rsid w:val="00953ABA"/>
    <w:rsid w:val="00953C00"/>
    <w:rsid w:val="009623D1"/>
    <w:rsid w:val="00962B84"/>
    <w:rsid w:val="009642E1"/>
    <w:rsid w:val="00966D2B"/>
    <w:rsid w:val="009743E3"/>
    <w:rsid w:val="009807B0"/>
    <w:rsid w:val="009819DA"/>
    <w:rsid w:val="00981D45"/>
    <w:rsid w:val="00984E9E"/>
    <w:rsid w:val="00986721"/>
    <w:rsid w:val="009874F9"/>
    <w:rsid w:val="00990A14"/>
    <w:rsid w:val="0099646E"/>
    <w:rsid w:val="009A7D9D"/>
    <w:rsid w:val="009C077E"/>
    <w:rsid w:val="009C357A"/>
    <w:rsid w:val="009C35E6"/>
    <w:rsid w:val="009C5445"/>
    <w:rsid w:val="009C6799"/>
    <w:rsid w:val="009D3407"/>
    <w:rsid w:val="009D3663"/>
    <w:rsid w:val="009D4ACF"/>
    <w:rsid w:val="009D7AA1"/>
    <w:rsid w:val="009E2AB7"/>
    <w:rsid w:val="009E43A4"/>
    <w:rsid w:val="009E7543"/>
    <w:rsid w:val="009F087C"/>
    <w:rsid w:val="009F3044"/>
    <w:rsid w:val="009F4BA0"/>
    <w:rsid w:val="009F6244"/>
    <w:rsid w:val="00A01382"/>
    <w:rsid w:val="00A01597"/>
    <w:rsid w:val="00A05A64"/>
    <w:rsid w:val="00A10A8C"/>
    <w:rsid w:val="00A16600"/>
    <w:rsid w:val="00A179F8"/>
    <w:rsid w:val="00A223BB"/>
    <w:rsid w:val="00A240F2"/>
    <w:rsid w:val="00A250BC"/>
    <w:rsid w:val="00A34BE5"/>
    <w:rsid w:val="00A3680D"/>
    <w:rsid w:val="00A37EF2"/>
    <w:rsid w:val="00A41679"/>
    <w:rsid w:val="00A4582C"/>
    <w:rsid w:val="00A458DA"/>
    <w:rsid w:val="00A5314E"/>
    <w:rsid w:val="00A64029"/>
    <w:rsid w:val="00A64474"/>
    <w:rsid w:val="00A727C5"/>
    <w:rsid w:val="00A812B4"/>
    <w:rsid w:val="00A820F4"/>
    <w:rsid w:val="00A8564B"/>
    <w:rsid w:val="00A92D21"/>
    <w:rsid w:val="00A9491D"/>
    <w:rsid w:val="00AA03A0"/>
    <w:rsid w:val="00AA0432"/>
    <w:rsid w:val="00AA0F72"/>
    <w:rsid w:val="00AA5564"/>
    <w:rsid w:val="00AA6B06"/>
    <w:rsid w:val="00AB37E3"/>
    <w:rsid w:val="00AB501D"/>
    <w:rsid w:val="00AB7B20"/>
    <w:rsid w:val="00AC14EA"/>
    <w:rsid w:val="00AE12B4"/>
    <w:rsid w:val="00AE1811"/>
    <w:rsid w:val="00AE27CA"/>
    <w:rsid w:val="00AE4196"/>
    <w:rsid w:val="00AF22A4"/>
    <w:rsid w:val="00AF280A"/>
    <w:rsid w:val="00AF3833"/>
    <w:rsid w:val="00AF6BD7"/>
    <w:rsid w:val="00B03F84"/>
    <w:rsid w:val="00B06970"/>
    <w:rsid w:val="00B07187"/>
    <w:rsid w:val="00B11115"/>
    <w:rsid w:val="00B14703"/>
    <w:rsid w:val="00B174B5"/>
    <w:rsid w:val="00B20133"/>
    <w:rsid w:val="00B20763"/>
    <w:rsid w:val="00B208E5"/>
    <w:rsid w:val="00B22D69"/>
    <w:rsid w:val="00B275D6"/>
    <w:rsid w:val="00B377C2"/>
    <w:rsid w:val="00B43654"/>
    <w:rsid w:val="00B45606"/>
    <w:rsid w:val="00B559A6"/>
    <w:rsid w:val="00B568F6"/>
    <w:rsid w:val="00B56C06"/>
    <w:rsid w:val="00B605BC"/>
    <w:rsid w:val="00B65C34"/>
    <w:rsid w:val="00B73796"/>
    <w:rsid w:val="00B825DB"/>
    <w:rsid w:val="00B83D32"/>
    <w:rsid w:val="00B87FAC"/>
    <w:rsid w:val="00B9018F"/>
    <w:rsid w:val="00B91FA6"/>
    <w:rsid w:val="00B949D1"/>
    <w:rsid w:val="00BA010E"/>
    <w:rsid w:val="00BA47F5"/>
    <w:rsid w:val="00BA4AE1"/>
    <w:rsid w:val="00BB091B"/>
    <w:rsid w:val="00BB18AE"/>
    <w:rsid w:val="00BB4F27"/>
    <w:rsid w:val="00BB545F"/>
    <w:rsid w:val="00BC077B"/>
    <w:rsid w:val="00BC0D24"/>
    <w:rsid w:val="00BC18F8"/>
    <w:rsid w:val="00BC2375"/>
    <w:rsid w:val="00BC264B"/>
    <w:rsid w:val="00BC661D"/>
    <w:rsid w:val="00BD0D72"/>
    <w:rsid w:val="00BD1126"/>
    <w:rsid w:val="00BD4942"/>
    <w:rsid w:val="00BD4A6C"/>
    <w:rsid w:val="00BD535C"/>
    <w:rsid w:val="00BD53A2"/>
    <w:rsid w:val="00BE7BA5"/>
    <w:rsid w:val="00BF0947"/>
    <w:rsid w:val="00BF09F6"/>
    <w:rsid w:val="00BF2D21"/>
    <w:rsid w:val="00BF3F97"/>
    <w:rsid w:val="00C0282E"/>
    <w:rsid w:val="00C02BBC"/>
    <w:rsid w:val="00C058FF"/>
    <w:rsid w:val="00C075FF"/>
    <w:rsid w:val="00C134FC"/>
    <w:rsid w:val="00C13701"/>
    <w:rsid w:val="00C1473C"/>
    <w:rsid w:val="00C147A5"/>
    <w:rsid w:val="00C16B3F"/>
    <w:rsid w:val="00C221DD"/>
    <w:rsid w:val="00C22540"/>
    <w:rsid w:val="00C3100F"/>
    <w:rsid w:val="00C340DF"/>
    <w:rsid w:val="00C343B9"/>
    <w:rsid w:val="00C51373"/>
    <w:rsid w:val="00C56ADA"/>
    <w:rsid w:val="00C578EF"/>
    <w:rsid w:val="00C60EF2"/>
    <w:rsid w:val="00C61A90"/>
    <w:rsid w:val="00C622A7"/>
    <w:rsid w:val="00C649D6"/>
    <w:rsid w:val="00C66F31"/>
    <w:rsid w:val="00C67A43"/>
    <w:rsid w:val="00C72EED"/>
    <w:rsid w:val="00C767F2"/>
    <w:rsid w:val="00C81D67"/>
    <w:rsid w:val="00C831D4"/>
    <w:rsid w:val="00C851F7"/>
    <w:rsid w:val="00C857C8"/>
    <w:rsid w:val="00C93786"/>
    <w:rsid w:val="00C93C31"/>
    <w:rsid w:val="00C955BD"/>
    <w:rsid w:val="00C97570"/>
    <w:rsid w:val="00CA088D"/>
    <w:rsid w:val="00CA2A1F"/>
    <w:rsid w:val="00CB08B9"/>
    <w:rsid w:val="00CB0A40"/>
    <w:rsid w:val="00CB26AD"/>
    <w:rsid w:val="00CB322F"/>
    <w:rsid w:val="00CB528C"/>
    <w:rsid w:val="00CB6540"/>
    <w:rsid w:val="00CC1734"/>
    <w:rsid w:val="00CC58F8"/>
    <w:rsid w:val="00CD3953"/>
    <w:rsid w:val="00CD484B"/>
    <w:rsid w:val="00CD4AED"/>
    <w:rsid w:val="00CE2007"/>
    <w:rsid w:val="00CF6547"/>
    <w:rsid w:val="00CF67E3"/>
    <w:rsid w:val="00CF6808"/>
    <w:rsid w:val="00D00A96"/>
    <w:rsid w:val="00D025C8"/>
    <w:rsid w:val="00D16772"/>
    <w:rsid w:val="00D22C5A"/>
    <w:rsid w:val="00D24469"/>
    <w:rsid w:val="00D24BAC"/>
    <w:rsid w:val="00D25BD1"/>
    <w:rsid w:val="00D26FBA"/>
    <w:rsid w:val="00D2738D"/>
    <w:rsid w:val="00D303DE"/>
    <w:rsid w:val="00D412A2"/>
    <w:rsid w:val="00D41DEC"/>
    <w:rsid w:val="00D51381"/>
    <w:rsid w:val="00D5672E"/>
    <w:rsid w:val="00D72549"/>
    <w:rsid w:val="00D770C2"/>
    <w:rsid w:val="00D81CF4"/>
    <w:rsid w:val="00D842F9"/>
    <w:rsid w:val="00D8604A"/>
    <w:rsid w:val="00D95DEE"/>
    <w:rsid w:val="00DA1566"/>
    <w:rsid w:val="00DA5146"/>
    <w:rsid w:val="00DA5F4F"/>
    <w:rsid w:val="00DC0FEE"/>
    <w:rsid w:val="00DC2573"/>
    <w:rsid w:val="00DC3B37"/>
    <w:rsid w:val="00DC55CA"/>
    <w:rsid w:val="00DD1559"/>
    <w:rsid w:val="00DD27ED"/>
    <w:rsid w:val="00DD2ED3"/>
    <w:rsid w:val="00DD3A38"/>
    <w:rsid w:val="00DD6455"/>
    <w:rsid w:val="00DE0E0E"/>
    <w:rsid w:val="00DE1C16"/>
    <w:rsid w:val="00DE2933"/>
    <w:rsid w:val="00DE3DE9"/>
    <w:rsid w:val="00DE68FF"/>
    <w:rsid w:val="00DF4698"/>
    <w:rsid w:val="00E00315"/>
    <w:rsid w:val="00E05595"/>
    <w:rsid w:val="00E07075"/>
    <w:rsid w:val="00E07BC2"/>
    <w:rsid w:val="00E20EFA"/>
    <w:rsid w:val="00E23371"/>
    <w:rsid w:val="00E233C5"/>
    <w:rsid w:val="00E25C61"/>
    <w:rsid w:val="00E32C7E"/>
    <w:rsid w:val="00E33118"/>
    <w:rsid w:val="00E332D9"/>
    <w:rsid w:val="00E33E8A"/>
    <w:rsid w:val="00E34F7B"/>
    <w:rsid w:val="00E446EF"/>
    <w:rsid w:val="00E458E0"/>
    <w:rsid w:val="00E53048"/>
    <w:rsid w:val="00E54AF3"/>
    <w:rsid w:val="00E659F8"/>
    <w:rsid w:val="00E70151"/>
    <w:rsid w:val="00E7180B"/>
    <w:rsid w:val="00E72881"/>
    <w:rsid w:val="00E83B9F"/>
    <w:rsid w:val="00E929FC"/>
    <w:rsid w:val="00E93D05"/>
    <w:rsid w:val="00E96680"/>
    <w:rsid w:val="00E971A9"/>
    <w:rsid w:val="00E97670"/>
    <w:rsid w:val="00EA2029"/>
    <w:rsid w:val="00EA2119"/>
    <w:rsid w:val="00EA592E"/>
    <w:rsid w:val="00EA6861"/>
    <w:rsid w:val="00EB4DAF"/>
    <w:rsid w:val="00EB67DC"/>
    <w:rsid w:val="00EC236F"/>
    <w:rsid w:val="00ED401C"/>
    <w:rsid w:val="00ED469B"/>
    <w:rsid w:val="00ED4EAE"/>
    <w:rsid w:val="00ED51AC"/>
    <w:rsid w:val="00ED535E"/>
    <w:rsid w:val="00ED5E11"/>
    <w:rsid w:val="00EE1E11"/>
    <w:rsid w:val="00EE4A6A"/>
    <w:rsid w:val="00EE737B"/>
    <w:rsid w:val="00EF0584"/>
    <w:rsid w:val="00EF1D99"/>
    <w:rsid w:val="00EF34C7"/>
    <w:rsid w:val="00EF4592"/>
    <w:rsid w:val="00F02D1D"/>
    <w:rsid w:val="00F118A9"/>
    <w:rsid w:val="00F119FB"/>
    <w:rsid w:val="00F123B0"/>
    <w:rsid w:val="00F131C7"/>
    <w:rsid w:val="00F138B0"/>
    <w:rsid w:val="00F216C3"/>
    <w:rsid w:val="00F22511"/>
    <w:rsid w:val="00F3133B"/>
    <w:rsid w:val="00F33B57"/>
    <w:rsid w:val="00F34B58"/>
    <w:rsid w:val="00F363BE"/>
    <w:rsid w:val="00F41E90"/>
    <w:rsid w:val="00F43177"/>
    <w:rsid w:val="00F46FF4"/>
    <w:rsid w:val="00F5202A"/>
    <w:rsid w:val="00F532E0"/>
    <w:rsid w:val="00F533E4"/>
    <w:rsid w:val="00F53D37"/>
    <w:rsid w:val="00F53F76"/>
    <w:rsid w:val="00F56097"/>
    <w:rsid w:val="00F6357F"/>
    <w:rsid w:val="00F7363C"/>
    <w:rsid w:val="00F7396C"/>
    <w:rsid w:val="00F837E7"/>
    <w:rsid w:val="00F86901"/>
    <w:rsid w:val="00F932EB"/>
    <w:rsid w:val="00FA0409"/>
    <w:rsid w:val="00FA3B5F"/>
    <w:rsid w:val="00FA5039"/>
    <w:rsid w:val="00FA5804"/>
    <w:rsid w:val="00FA585F"/>
    <w:rsid w:val="00FA69F4"/>
    <w:rsid w:val="00FA7DF9"/>
    <w:rsid w:val="00FB2BBC"/>
    <w:rsid w:val="00FB2D2C"/>
    <w:rsid w:val="00FC100E"/>
    <w:rsid w:val="00FC5B3E"/>
    <w:rsid w:val="00FC7701"/>
    <w:rsid w:val="00FD4D38"/>
    <w:rsid w:val="00FD5A57"/>
    <w:rsid w:val="00FE08A7"/>
    <w:rsid w:val="00FE15FE"/>
    <w:rsid w:val="00FE6057"/>
    <w:rsid w:val="00FE6CE4"/>
    <w:rsid w:val="00FF3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A90"/>
    <w:pPr>
      <w:spacing w:after="0" w:line="240" w:lineRule="auto"/>
    </w:pPr>
  </w:style>
  <w:style w:type="paragraph" w:styleId="Heading1">
    <w:name w:val="heading 1"/>
    <w:basedOn w:val="Normal"/>
    <w:next w:val="BodyText"/>
    <w:link w:val="Heading1Char"/>
    <w:uiPriority w:val="9"/>
    <w:qFormat/>
    <w:rsid w:val="00B825DB"/>
    <w:pPr>
      <w:keepNext/>
      <w:numPr>
        <w:numId w:val="12"/>
      </w:numPr>
      <w:spacing w:after="250"/>
      <w:ind w:right="1440"/>
      <w:jc w:val="center"/>
      <w:outlineLvl w:val="0"/>
    </w:pPr>
    <w:rPr>
      <w:rFonts w:eastAsiaTheme="majorEastAsia" w:cs="Times New Roman"/>
      <w:b/>
      <w:bCs/>
      <w:caps/>
      <w:szCs w:val="28"/>
      <w:u w:val="single"/>
    </w:rPr>
  </w:style>
  <w:style w:type="paragraph" w:styleId="Heading2">
    <w:name w:val="heading 2"/>
    <w:basedOn w:val="Normal"/>
    <w:next w:val="BodyText"/>
    <w:link w:val="Heading2Char"/>
    <w:uiPriority w:val="9"/>
    <w:unhideWhenUsed/>
    <w:qFormat/>
    <w:rsid w:val="00B825DB"/>
    <w:pPr>
      <w:keepNext/>
      <w:numPr>
        <w:ilvl w:val="1"/>
        <w:numId w:val="12"/>
      </w:numPr>
      <w:tabs>
        <w:tab w:val="left" w:pos="720"/>
      </w:tabs>
      <w:spacing w:after="250"/>
      <w:outlineLvl w:val="1"/>
    </w:pPr>
    <w:rPr>
      <w:rFonts w:eastAsiaTheme="majorEastAsia" w:cs="Times New Roman"/>
      <w:b/>
      <w:bCs/>
      <w:szCs w:val="26"/>
      <w:u w:val="single"/>
    </w:rPr>
  </w:style>
  <w:style w:type="paragraph" w:styleId="Heading3">
    <w:name w:val="heading 3"/>
    <w:basedOn w:val="Normal"/>
    <w:next w:val="BodyText"/>
    <w:link w:val="Heading3Char"/>
    <w:uiPriority w:val="9"/>
    <w:semiHidden/>
    <w:unhideWhenUsed/>
    <w:qFormat/>
    <w:rsid w:val="00B825DB"/>
    <w:pPr>
      <w:keepNext/>
      <w:numPr>
        <w:ilvl w:val="2"/>
        <w:numId w:val="12"/>
      </w:numPr>
      <w:tabs>
        <w:tab w:val="left" w:pos="1440"/>
      </w:tabs>
      <w:spacing w:after="250"/>
      <w:outlineLvl w:val="2"/>
    </w:pPr>
    <w:rPr>
      <w:rFonts w:eastAsiaTheme="majorEastAsia" w:cs="Times New Roman"/>
      <w:b/>
      <w:bCs/>
    </w:rPr>
  </w:style>
  <w:style w:type="paragraph" w:styleId="Heading4">
    <w:name w:val="heading 4"/>
    <w:basedOn w:val="Normal"/>
    <w:next w:val="BodyText"/>
    <w:link w:val="Heading4Char"/>
    <w:uiPriority w:val="9"/>
    <w:semiHidden/>
    <w:unhideWhenUsed/>
    <w:qFormat/>
    <w:rsid w:val="00B825DB"/>
    <w:pPr>
      <w:numPr>
        <w:ilvl w:val="3"/>
        <w:numId w:val="12"/>
      </w:numPr>
      <w:tabs>
        <w:tab w:val="left" w:pos="2880"/>
      </w:tabs>
      <w:spacing w:after="250"/>
      <w:outlineLvl w:val="3"/>
    </w:pPr>
    <w:rPr>
      <w:rFonts w:eastAsiaTheme="majorEastAsia" w:cs="Times New Roman"/>
      <w:bCs/>
      <w:iCs/>
    </w:rPr>
  </w:style>
  <w:style w:type="paragraph" w:styleId="Heading5">
    <w:name w:val="heading 5"/>
    <w:basedOn w:val="Normal"/>
    <w:next w:val="BodyText"/>
    <w:link w:val="Heading5Char"/>
    <w:uiPriority w:val="9"/>
    <w:semiHidden/>
    <w:unhideWhenUsed/>
    <w:qFormat/>
    <w:rsid w:val="00B825DB"/>
    <w:pPr>
      <w:numPr>
        <w:ilvl w:val="4"/>
        <w:numId w:val="12"/>
      </w:numPr>
      <w:tabs>
        <w:tab w:val="left" w:pos="2880"/>
      </w:tabs>
      <w:spacing w:after="250"/>
      <w:outlineLvl w:val="4"/>
    </w:pPr>
    <w:rPr>
      <w:rFonts w:eastAsiaTheme="majorEastAsia" w:cs="Times New Roman"/>
    </w:rPr>
  </w:style>
  <w:style w:type="paragraph" w:styleId="Heading6">
    <w:name w:val="heading 6"/>
    <w:basedOn w:val="Normal"/>
    <w:next w:val="BodyText"/>
    <w:link w:val="Heading6Char"/>
    <w:uiPriority w:val="9"/>
    <w:semiHidden/>
    <w:unhideWhenUsed/>
    <w:qFormat/>
    <w:rsid w:val="00B825DB"/>
    <w:pPr>
      <w:numPr>
        <w:ilvl w:val="5"/>
        <w:numId w:val="12"/>
      </w:numPr>
      <w:tabs>
        <w:tab w:val="left" w:pos="3600"/>
      </w:tabs>
      <w:spacing w:after="250"/>
      <w:outlineLvl w:val="5"/>
    </w:pPr>
    <w:rPr>
      <w:rFonts w:eastAsiaTheme="majorEastAsia" w:cs="Times New Roman"/>
      <w:iCs/>
    </w:rPr>
  </w:style>
  <w:style w:type="paragraph" w:styleId="Heading7">
    <w:name w:val="heading 7"/>
    <w:basedOn w:val="Normal"/>
    <w:next w:val="BodyText"/>
    <w:link w:val="Heading7Char"/>
    <w:uiPriority w:val="9"/>
    <w:semiHidden/>
    <w:unhideWhenUsed/>
    <w:qFormat/>
    <w:rsid w:val="00B825DB"/>
    <w:pPr>
      <w:numPr>
        <w:ilvl w:val="6"/>
        <w:numId w:val="12"/>
      </w:numPr>
      <w:tabs>
        <w:tab w:val="left" w:pos="4320"/>
      </w:tabs>
      <w:spacing w:after="250"/>
      <w:outlineLvl w:val="6"/>
    </w:pPr>
    <w:rPr>
      <w:rFonts w:eastAsiaTheme="majorEastAsia" w:cs="Times New Roman"/>
      <w:iCs/>
    </w:rPr>
  </w:style>
  <w:style w:type="paragraph" w:styleId="Heading8">
    <w:name w:val="heading 8"/>
    <w:basedOn w:val="Normal"/>
    <w:next w:val="BodyText"/>
    <w:link w:val="Heading8Char"/>
    <w:uiPriority w:val="9"/>
    <w:semiHidden/>
    <w:unhideWhenUsed/>
    <w:qFormat/>
    <w:rsid w:val="00B825DB"/>
    <w:pPr>
      <w:numPr>
        <w:ilvl w:val="7"/>
        <w:numId w:val="12"/>
      </w:numPr>
      <w:tabs>
        <w:tab w:val="left" w:pos="5040"/>
      </w:tabs>
      <w:spacing w:after="250"/>
      <w:outlineLvl w:val="7"/>
    </w:pPr>
    <w:rPr>
      <w:rFonts w:eastAsiaTheme="majorEastAsia" w:cs="Times New Roman"/>
      <w:szCs w:val="20"/>
    </w:rPr>
  </w:style>
  <w:style w:type="paragraph" w:styleId="Heading9">
    <w:name w:val="heading 9"/>
    <w:basedOn w:val="Normal"/>
    <w:next w:val="BodyText"/>
    <w:link w:val="Heading9Char"/>
    <w:uiPriority w:val="9"/>
    <w:semiHidden/>
    <w:unhideWhenUsed/>
    <w:qFormat/>
    <w:rsid w:val="00B825DB"/>
    <w:pPr>
      <w:numPr>
        <w:ilvl w:val="8"/>
        <w:numId w:val="12"/>
      </w:numPr>
      <w:tabs>
        <w:tab w:val="left" w:pos="5760"/>
      </w:tabs>
      <w:spacing w:after="25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qFormat/>
    <w:rsid w:val="00522082"/>
    <w:rPr>
      <w:color w:val="000000" w:themeColor="text1"/>
    </w:rPr>
  </w:style>
  <w:style w:type="paragraph" w:styleId="BodyText">
    <w:name w:val="Body Text"/>
    <w:aliases w:val="Single Spacing"/>
    <w:basedOn w:val="Normal"/>
    <w:link w:val="BodyTextChar"/>
    <w:uiPriority w:val="99"/>
    <w:unhideWhenUsed/>
    <w:rsid w:val="00522082"/>
    <w:pPr>
      <w:spacing w:after="250"/>
      <w:ind w:firstLine="720"/>
    </w:pPr>
  </w:style>
  <w:style w:type="character" w:customStyle="1" w:styleId="BodyTextChar">
    <w:name w:val="Body Text Char"/>
    <w:aliases w:val="Single Spacing Char"/>
    <w:basedOn w:val="DefaultParagraphFont"/>
    <w:link w:val="BodyText"/>
    <w:uiPriority w:val="99"/>
    <w:rsid w:val="00522082"/>
    <w:rPr>
      <w:rFonts w:ascii="Times New Roman" w:hAnsi="Times New Roman"/>
      <w:sz w:val="25"/>
    </w:rPr>
  </w:style>
  <w:style w:type="paragraph" w:customStyle="1" w:styleId="AfterQuote">
    <w:name w:val="AfterQuote"/>
    <w:basedOn w:val="Normal"/>
    <w:next w:val="BodyText"/>
    <w:qFormat/>
    <w:rsid w:val="00350024"/>
    <w:pPr>
      <w:spacing w:after="240"/>
    </w:pPr>
  </w:style>
  <w:style w:type="paragraph" w:customStyle="1" w:styleId="BlockQuote">
    <w:name w:val="BlockQuote"/>
    <w:basedOn w:val="Normal"/>
    <w:next w:val="BodyText"/>
    <w:qFormat/>
    <w:rsid w:val="00FB2D2C"/>
    <w:pPr>
      <w:spacing w:after="250"/>
      <w:ind w:left="1440" w:right="1440"/>
    </w:pPr>
  </w:style>
  <w:style w:type="paragraph" w:customStyle="1" w:styleId="CenteredHeading">
    <w:name w:val="Centered Heading"/>
    <w:basedOn w:val="Normal"/>
    <w:next w:val="BodyText"/>
    <w:qFormat/>
    <w:rsid w:val="00305285"/>
    <w:pPr>
      <w:keepNext/>
      <w:jc w:val="center"/>
    </w:pPr>
    <w:rPr>
      <w:b/>
      <w:u w:val="single"/>
    </w:rPr>
  </w:style>
  <w:style w:type="paragraph" w:customStyle="1" w:styleId="DoubleSpacing">
    <w:name w:val="Double Spacing"/>
    <w:basedOn w:val="BodyText"/>
    <w:qFormat/>
    <w:rsid w:val="00305285"/>
    <w:pPr>
      <w:spacing w:line="480" w:lineRule="auto"/>
    </w:pPr>
  </w:style>
  <w:style w:type="paragraph" w:customStyle="1" w:styleId="Filename">
    <w:name w:val="Filename"/>
    <w:basedOn w:val="Normal"/>
    <w:qFormat/>
    <w:rsid w:val="00305285"/>
    <w:rPr>
      <w:caps/>
      <w:sz w:val="16"/>
    </w:rPr>
  </w:style>
  <w:style w:type="paragraph" w:styleId="Header">
    <w:name w:val="header"/>
    <w:basedOn w:val="Normal"/>
    <w:link w:val="HeaderChar"/>
    <w:uiPriority w:val="99"/>
    <w:unhideWhenUsed/>
    <w:rsid w:val="00305285"/>
    <w:pPr>
      <w:tabs>
        <w:tab w:val="center" w:pos="4680"/>
        <w:tab w:val="right" w:pos="9360"/>
      </w:tabs>
    </w:pPr>
  </w:style>
  <w:style w:type="character" w:customStyle="1" w:styleId="HeaderChar">
    <w:name w:val="Header Char"/>
    <w:basedOn w:val="DefaultParagraphFont"/>
    <w:link w:val="Header"/>
    <w:uiPriority w:val="99"/>
    <w:rsid w:val="00305285"/>
    <w:rPr>
      <w:rFonts w:ascii="Times New Roman" w:hAnsi="Times New Roman"/>
      <w:sz w:val="25"/>
    </w:rPr>
  </w:style>
  <w:style w:type="paragraph" w:styleId="Footer">
    <w:name w:val="footer"/>
    <w:basedOn w:val="Normal"/>
    <w:link w:val="FooterChar"/>
    <w:unhideWhenUsed/>
    <w:rsid w:val="00305285"/>
    <w:pPr>
      <w:tabs>
        <w:tab w:val="center" w:pos="4680"/>
        <w:tab w:val="right" w:pos="9360"/>
      </w:tabs>
    </w:pPr>
  </w:style>
  <w:style w:type="character" w:customStyle="1" w:styleId="FooterChar">
    <w:name w:val="Footer Char"/>
    <w:basedOn w:val="DefaultParagraphFont"/>
    <w:link w:val="Footer"/>
    <w:uiPriority w:val="99"/>
    <w:rsid w:val="00305285"/>
    <w:rPr>
      <w:rFonts w:ascii="Times New Roman" w:hAnsi="Times New Roman"/>
      <w:sz w:val="25"/>
    </w:rPr>
  </w:style>
  <w:style w:type="paragraph" w:customStyle="1" w:styleId="HeaderTitle">
    <w:name w:val="HeaderTitle"/>
    <w:basedOn w:val="Normal"/>
    <w:qFormat/>
    <w:rsid w:val="00305285"/>
    <w:pPr>
      <w:spacing w:after="250"/>
      <w:jc w:val="center"/>
    </w:pPr>
    <w:rPr>
      <w:sz w:val="32"/>
    </w:rPr>
  </w:style>
  <w:style w:type="character" w:customStyle="1" w:styleId="Heading1Char">
    <w:name w:val="Heading 1 Char"/>
    <w:basedOn w:val="DefaultParagraphFont"/>
    <w:link w:val="Heading1"/>
    <w:uiPriority w:val="9"/>
    <w:rsid w:val="007C5AAE"/>
    <w:rPr>
      <w:rFonts w:ascii="Times New Roman" w:eastAsiaTheme="majorEastAsia" w:hAnsi="Times New Roman" w:cs="Times New Roman"/>
      <w:b/>
      <w:bCs/>
      <w:caps/>
      <w:sz w:val="25"/>
      <w:szCs w:val="28"/>
      <w:u w:val="single"/>
    </w:rPr>
  </w:style>
  <w:style w:type="character" w:customStyle="1" w:styleId="Heading2Char">
    <w:name w:val="Heading 2 Char"/>
    <w:basedOn w:val="DefaultParagraphFont"/>
    <w:link w:val="Heading2"/>
    <w:uiPriority w:val="9"/>
    <w:rsid w:val="007C5AAE"/>
    <w:rPr>
      <w:rFonts w:ascii="Times New Roman" w:eastAsiaTheme="majorEastAsia" w:hAnsi="Times New Roman" w:cs="Times New Roman"/>
      <w:b/>
      <w:bCs/>
      <w:sz w:val="25"/>
      <w:szCs w:val="26"/>
      <w:u w:val="single"/>
    </w:rPr>
  </w:style>
  <w:style w:type="character" w:customStyle="1" w:styleId="Heading3Char">
    <w:name w:val="Heading 3 Char"/>
    <w:basedOn w:val="DefaultParagraphFont"/>
    <w:link w:val="Heading3"/>
    <w:uiPriority w:val="9"/>
    <w:semiHidden/>
    <w:rsid w:val="007C5AAE"/>
    <w:rPr>
      <w:rFonts w:ascii="Times New Roman" w:eastAsiaTheme="majorEastAsia" w:hAnsi="Times New Roman" w:cs="Times New Roman"/>
      <w:b/>
      <w:bCs/>
      <w:sz w:val="25"/>
    </w:rPr>
  </w:style>
  <w:style w:type="character" w:customStyle="1" w:styleId="Heading4Char">
    <w:name w:val="Heading 4 Char"/>
    <w:basedOn w:val="DefaultParagraphFont"/>
    <w:link w:val="Heading4"/>
    <w:uiPriority w:val="9"/>
    <w:semiHidden/>
    <w:rsid w:val="007C5AAE"/>
    <w:rPr>
      <w:rFonts w:ascii="Times New Roman" w:eastAsiaTheme="majorEastAsia" w:hAnsi="Times New Roman" w:cs="Times New Roman"/>
      <w:bCs/>
      <w:iCs/>
      <w:sz w:val="25"/>
    </w:rPr>
  </w:style>
  <w:style w:type="character" w:customStyle="1" w:styleId="Heading5Char">
    <w:name w:val="Heading 5 Char"/>
    <w:basedOn w:val="DefaultParagraphFont"/>
    <w:link w:val="Heading5"/>
    <w:uiPriority w:val="9"/>
    <w:semiHidden/>
    <w:rsid w:val="007C5AAE"/>
    <w:rPr>
      <w:rFonts w:ascii="Times New Roman" w:eastAsiaTheme="majorEastAsia" w:hAnsi="Times New Roman" w:cs="Times New Roman"/>
      <w:sz w:val="25"/>
    </w:rPr>
  </w:style>
  <w:style w:type="character" w:customStyle="1" w:styleId="Heading6Char">
    <w:name w:val="Heading 6 Char"/>
    <w:basedOn w:val="DefaultParagraphFont"/>
    <w:link w:val="Heading6"/>
    <w:uiPriority w:val="9"/>
    <w:semiHidden/>
    <w:rsid w:val="007C5AAE"/>
    <w:rPr>
      <w:rFonts w:ascii="Times New Roman" w:eastAsiaTheme="majorEastAsia" w:hAnsi="Times New Roman" w:cs="Times New Roman"/>
      <w:iCs/>
      <w:sz w:val="25"/>
    </w:rPr>
  </w:style>
  <w:style w:type="character" w:customStyle="1" w:styleId="Heading7Char">
    <w:name w:val="Heading 7 Char"/>
    <w:basedOn w:val="DefaultParagraphFont"/>
    <w:link w:val="Heading7"/>
    <w:uiPriority w:val="9"/>
    <w:semiHidden/>
    <w:rsid w:val="007C5AAE"/>
    <w:rPr>
      <w:rFonts w:ascii="Times New Roman" w:eastAsiaTheme="majorEastAsia" w:hAnsi="Times New Roman" w:cs="Times New Roman"/>
      <w:iCs/>
      <w:sz w:val="25"/>
    </w:rPr>
  </w:style>
  <w:style w:type="character" w:customStyle="1" w:styleId="Heading8Char">
    <w:name w:val="Heading 8 Char"/>
    <w:basedOn w:val="DefaultParagraphFont"/>
    <w:link w:val="Heading8"/>
    <w:uiPriority w:val="9"/>
    <w:semiHidden/>
    <w:rsid w:val="007C5AAE"/>
    <w:rPr>
      <w:rFonts w:ascii="Times New Roman" w:eastAsiaTheme="majorEastAsia" w:hAnsi="Times New Roman" w:cs="Times New Roman"/>
      <w:sz w:val="25"/>
      <w:szCs w:val="20"/>
    </w:rPr>
  </w:style>
  <w:style w:type="character" w:customStyle="1" w:styleId="Heading9Char">
    <w:name w:val="Heading 9 Char"/>
    <w:basedOn w:val="DefaultParagraphFont"/>
    <w:link w:val="Heading9"/>
    <w:uiPriority w:val="9"/>
    <w:semiHidden/>
    <w:rsid w:val="007C5AAE"/>
    <w:rPr>
      <w:rFonts w:ascii="Times New Roman" w:eastAsiaTheme="majorEastAsia" w:hAnsi="Times New Roman" w:cs="Times New Roman"/>
      <w:iCs/>
      <w:sz w:val="25"/>
      <w:szCs w:val="20"/>
    </w:rPr>
  </w:style>
  <w:style w:type="paragraph" w:customStyle="1" w:styleId="PolicyQuote">
    <w:name w:val="PolicyQuote"/>
    <w:basedOn w:val="Normal"/>
    <w:qFormat/>
    <w:rsid w:val="007C5AAE"/>
    <w:pPr>
      <w:spacing w:after="250" w:line="250" w:lineRule="exact"/>
      <w:ind w:left="1440" w:right="1440"/>
    </w:pPr>
    <w:rPr>
      <w:rFonts w:ascii="Arial" w:hAnsi="Arial"/>
      <w:sz w:val="24"/>
    </w:rPr>
  </w:style>
  <w:style w:type="paragraph" w:styleId="TOC1">
    <w:name w:val="toc 1"/>
    <w:basedOn w:val="Normal"/>
    <w:next w:val="Normal"/>
    <w:autoRedefine/>
    <w:uiPriority w:val="39"/>
    <w:semiHidden/>
    <w:unhideWhenUsed/>
    <w:rsid w:val="007C5AAE"/>
    <w:pPr>
      <w:spacing w:after="250"/>
      <w:ind w:left="360" w:right="720" w:hanging="360"/>
    </w:pPr>
    <w:rPr>
      <w:caps/>
      <w:noProof/>
    </w:rPr>
  </w:style>
  <w:style w:type="paragraph" w:styleId="TOC2">
    <w:name w:val="toc 2"/>
    <w:basedOn w:val="Normal"/>
    <w:next w:val="Normal"/>
    <w:autoRedefine/>
    <w:uiPriority w:val="39"/>
    <w:semiHidden/>
    <w:unhideWhenUsed/>
    <w:rsid w:val="007C5AAE"/>
    <w:pPr>
      <w:spacing w:after="250"/>
      <w:ind w:left="1080" w:right="720" w:hanging="360"/>
    </w:pPr>
    <w:rPr>
      <w:noProof/>
    </w:rPr>
  </w:style>
  <w:style w:type="paragraph" w:styleId="TOC3">
    <w:name w:val="toc 3"/>
    <w:basedOn w:val="Normal"/>
    <w:next w:val="Normal"/>
    <w:autoRedefine/>
    <w:uiPriority w:val="39"/>
    <w:semiHidden/>
    <w:unhideWhenUsed/>
    <w:rsid w:val="007C5AAE"/>
    <w:pPr>
      <w:spacing w:after="250"/>
      <w:ind w:left="1800" w:right="720" w:hanging="360"/>
    </w:pPr>
    <w:rPr>
      <w:noProof/>
    </w:rPr>
  </w:style>
  <w:style w:type="paragraph" w:styleId="TOC4">
    <w:name w:val="toc 4"/>
    <w:basedOn w:val="Normal"/>
    <w:next w:val="Normal"/>
    <w:autoRedefine/>
    <w:uiPriority w:val="39"/>
    <w:semiHidden/>
    <w:unhideWhenUsed/>
    <w:rsid w:val="007C5AAE"/>
    <w:pPr>
      <w:spacing w:after="250"/>
      <w:ind w:left="2520" w:right="720" w:hanging="360"/>
    </w:pPr>
    <w:rPr>
      <w:noProof/>
    </w:rPr>
  </w:style>
  <w:style w:type="paragraph" w:styleId="TOC5">
    <w:name w:val="toc 5"/>
    <w:basedOn w:val="Normal"/>
    <w:next w:val="Normal"/>
    <w:autoRedefine/>
    <w:uiPriority w:val="39"/>
    <w:semiHidden/>
    <w:unhideWhenUsed/>
    <w:rsid w:val="007C5AAE"/>
    <w:pPr>
      <w:spacing w:after="250"/>
      <w:ind w:left="3240" w:right="720" w:hanging="360"/>
    </w:pPr>
    <w:rPr>
      <w:noProof/>
    </w:rPr>
  </w:style>
  <w:style w:type="paragraph" w:styleId="TOC6">
    <w:name w:val="toc 6"/>
    <w:basedOn w:val="Normal"/>
    <w:next w:val="Normal"/>
    <w:autoRedefine/>
    <w:uiPriority w:val="39"/>
    <w:semiHidden/>
    <w:unhideWhenUsed/>
    <w:rsid w:val="007C5AAE"/>
    <w:pPr>
      <w:spacing w:after="250"/>
      <w:ind w:left="3960" w:right="720" w:hanging="360"/>
    </w:pPr>
    <w:rPr>
      <w:noProof/>
    </w:rPr>
  </w:style>
  <w:style w:type="paragraph" w:styleId="TOC7">
    <w:name w:val="toc 7"/>
    <w:basedOn w:val="Normal"/>
    <w:next w:val="Normal"/>
    <w:autoRedefine/>
    <w:uiPriority w:val="39"/>
    <w:semiHidden/>
    <w:unhideWhenUsed/>
    <w:rsid w:val="007C5AAE"/>
    <w:pPr>
      <w:spacing w:after="250"/>
      <w:ind w:left="4680" w:right="720" w:hanging="360"/>
    </w:pPr>
    <w:rPr>
      <w:noProof/>
    </w:rPr>
  </w:style>
  <w:style w:type="paragraph" w:styleId="TOC8">
    <w:name w:val="toc 8"/>
    <w:basedOn w:val="Normal"/>
    <w:next w:val="Normal"/>
    <w:autoRedefine/>
    <w:uiPriority w:val="39"/>
    <w:semiHidden/>
    <w:unhideWhenUsed/>
    <w:rsid w:val="007C5AAE"/>
    <w:pPr>
      <w:spacing w:after="250"/>
      <w:ind w:left="5400" w:right="720" w:hanging="360"/>
    </w:pPr>
    <w:rPr>
      <w:noProof/>
    </w:rPr>
  </w:style>
  <w:style w:type="paragraph" w:styleId="TOC9">
    <w:name w:val="toc 9"/>
    <w:basedOn w:val="Normal"/>
    <w:next w:val="Normal"/>
    <w:autoRedefine/>
    <w:uiPriority w:val="39"/>
    <w:semiHidden/>
    <w:unhideWhenUsed/>
    <w:rsid w:val="007C5AAE"/>
    <w:pPr>
      <w:spacing w:after="250"/>
      <w:ind w:left="6120" w:right="720" w:hanging="360"/>
    </w:pPr>
    <w:rPr>
      <w:noProof/>
    </w:rPr>
  </w:style>
  <w:style w:type="paragraph" w:styleId="TOCHeading">
    <w:name w:val="TOC Heading"/>
    <w:basedOn w:val="Heading1"/>
    <w:next w:val="Normal"/>
    <w:uiPriority w:val="39"/>
    <w:semiHidden/>
    <w:unhideWhenUsed/>
    <w:qFormat/>
    <w:rsid w:val="00396554"/>
    <w:pPr>
      <w:keepLines/>
      <w:numPr>
        <w:numId w:val="0"/>
      </w:numPr>
      <w:outlineLvl w:val="9"/>
    </w:pPr>
    <w:rPr>
      <w:rFonts w:asciiTheme="majorHAnsi" w:hAnsiTheme="majorHAnsi" w:cstheme="majorBidi"/>
      <w:color w:val="000000" w:themeColor="text1"/>
    </w:rPr>
  </w:style>
  <w:style w:type="paragraph" w:customStyle="1" w:styleId="TOCPage">
    <w:name w:val="TOC Page"/>
    <w:basedOn w:val="Normal"/>
    <w:uiPriority w:val="39"/>
    <w:semiHidden/>
    <w:unhideWhenUsed/>
    <w:qFormat/>
    <w:rsid w:val="00396554"/>
    <w:pPr>
      <w:spacing w:after="250"/>
      <w:jc w:val="right"/>
    </w:pPr>
    <w:rPr>
      <w:b/>
    </w:rPr>
  </w:style>
  <w:style w:type="paragraph" w:styleId="Signature">
    <w:name w:val="Signature"/>
    <w:aliases w:val="SG,SIG"/>
    <w:basedOn w:val="Normal"/>
    <w:link w:val="SignatureChar"/>
    <w:unhideWhenUsed/>
    <w:rsid w:val="00396554"/>
    <w:pPr>
      <w:keepNext/>
      <w:ind w:left="5040"/>
    </w:pPr>
  </w:style>
  <w:style w:type="character" w:customStyle="1" w:styleId="SignatureChar">
    <w:name w:val="Signature Char"/>
    <w:aliases w:val="SG Char,SIG Char"/>
    <w:basedOn w:val="DefaultParagraphFont"/>
    <w:link w:val="Signature"/>
    <w:uiPriority w:val="99"/>
    <w:semiHidden/>
    <w:rsid w:val="00396554"/>
    <w:rPr>
      <w:rFonts w:ascii="Times New Roman" w:hAnsi="Times New Roman"/>
      <w:sz w:val="25"/>
    </w:rPr>
  </w:style>
  <w:style w:type="character" w:customStyle="1" w:styleId="DocID">
    <w:name w:val="DocID"/>
    <w:basedOn w:val="DefaultParagraphFont"/>
    <w:uiPriority w:val="39"/>
    <w:rsid w:val="00650CB2"/>
    <w:rPr>
      <w:sz w:val="16"/>
    </w:rPr>
  </w:style>
  <w:style w:type="paragraph" w:customStyle="1" w:styleId="bcc">
    <w:name w:val="bcc"/>
    <w:basedOn w:val="Normal"/>
    <w:uiPriority w:val="39"/>
    <w:rsid w:val="00650CB2"/>
    <w:pPr>
      <w:ind w:left="720" w:hanging="720"/>
    </w:pPr>
  </w:style>
  <w:style w:type="numbering" w:styleId="111111">
    <w:name w:val="Outline List 2"/>
    <w:basedOn w:val="NoList"/>
    <w:uiPriority w:val="99"/>
    <w:semiHidden/>
    <w:unhideWhenUsed/>
    <w:rsid w:val="007E6286"/>
    <w:pPr>
      <w:numPr>
        <w:numId w:val="13"/>
      </w:numPr>
    </w:pPr>
  </w:style>
  <w:style w:type="paragraph" w:styleId="BalloonText">
    <w:name w:val="Balloon Text"/>
    <w:basedOn w:val="Normal"/>
    <w:link w:val="BalloonTextChar"/>
    <w:uiPriority w:val="99"/>
    <w:semiHidden/>
    <w:unhideWhenUsed/>
    <w:rsid w:val="002E0409"/>
    <w:rPr>
      <w:rFonts w:ascii="Tahoma" w:hAnsi="Tahoma" w:cs="Tahoma"/>
      <w:sz w:val="16"/>
      <w:szCs w:val="16"/>
    </w:rPr>
  </w:style>
  <w:style w:type="character" w:customStyle="1" w:styleId="BalloonTextChar">
    <w:name w:val="Balloon Text Char"/>
    <w:basedOn w:val="DefaultParagraphFont"/>
    <w:link w:val="BalloonText"/>
    <w:uiPriority w:val="99"/>
    <w:semiHidden/>
    <w:rsid w:val="002E0409"/>
    <w:rPr>
      <w:rFonts w:ascii="Tahoma" w:hAnsi="Tahoma" w:cs="Tahoma"/>
      <w:sz w:val="16"/>
      <w:szCs w:val="16"/>
    </w:rPr>
  </w:style>
  <w:style w:type="paragraph" w:styleId="FootnoteText">
    <w:name w:val="footnote text"/>
    <w:basedOn w:val="Normal"/>
    <w:link w:val="FootnoteTextChar"/>
    <w:uiPriority w:val="99"/>
    <w:unhideWhenUsed/>
    <w:rsid w:val="004B270D"/>
    <w:rPr>
      <w:sz w:val="20"/>
      <w:szCs w:val="20"/>
    </w:rPr>
  </w:style>
  <w:style w:type="character" w:customStyle="1" w:styleId="FootnoteTextChar">
    <w:name w:val="Footnote Text Char"/>
    <w:basedOn w:val="DefaultParagraphFont"/>
    <w:link w:val="FootnoteText"/>
    <w:uiPriority w:val="99"/>
    <w:rsid w:val="004B270D"/>
    <w:rPr>
      <w:rFonts w:ascii="Times New Roman" w:hAnsi="Times New Roman"/>
      <w:sz w:val="20"/>
      <w:szCs w:val="20"/>
    </w:rPr>
  </w:style>
  <w:style w:type="character" w:styleId="FootnoteReference">
    <w:name w:val="footnote reference"/>
    <w:basedOn w:val="DefaultParagraphFont"/>
    <w:uiPriority w:val="99"/>
    <w:semiHidden/>
    <w:unhideWhenUsed/>
    <w:rsid w:val="004B270D"/>
    <w:rPr>
      <w:vertAlign w:val="superscript"/>
    </w:rPr>
  </w:style>
  <w:style w:type="character" w:styleId="Hyperlink">
    <w:name w:val="Hyperlink"/>
    <w:basedOn w:val="DefaultParagraphFont"/>
    <w:uiPriority w:val="99"/>
    <w:unhideWhenUsed/>
    <w:rsid w:val="004B270D"/>
    <w:rPr>
      <w:color w:val="0000FF"/>
      <w:u w:val="single"/>
    </w:rPr>
  </w:style>
  <w:style w:type="character" w:styleId="FollowedHyperlink">
    <w:name w:val="FollowedHyperlink"/>
    <w:basedOn w:val="DefaultParagraphFont"/>
    <w:uiPriority w:val="99"/>
    <w:semiHidden/>
    <w:unhideWhenUsed/>
    <w:rsid w:val="009C5445"/>
    <w:rPr>
      <w:color w:val="800080" w:themeColor="followedHyperlink"/>
      <w:u w:val="single"/>
    </w:rPr>
  </w:style>
  <w:style w:type="character" w:styleId="Emphasis">
    <w:name w:val="Emphasis"/>
    <w:basedOn w:val="DefaultParagraphFont"/>
    <w:uiPriority w:val="20"/>
    <w:qFormat/>
    <w:rsid w:val="00386D58"/>
    <w:rPr>
      <w:i/>
      <w:iCs/>
    </w:rPr>
  </w:style>
  <w:style w:type="character" w:customStyle="1" w:styleId="courtcase">
    <w:name w:val="courtcase"/>
    <w:basedOn w:val="DefaultParagraphFont"/>
    <w:rsid w:val="00386D58"/>
  </w:style>
  <w:style w:type="paragraph" w:styleId="ListParagraph">
    <w:name w:val="List Paragraph"/>
    <w:basedOn w:val="Normal"/>
    <w:uiPriority w:val="98"/>
    <w:qFormat/>
    <w:rsid w:val="00AA6B06"/>
    <w:pPr>
      <w:ind w:left="720"/>
      <w:contextualSpacing/>
      <w:jc w:val="both"/>
    </w:pPr>
    <w:rPr>
      <w:rFonts w:ascii="Times New Roman" w:hAnsi="Times New Roman"/>
      <w:kern w:val="16"/>
      <w:sz w:val="24"/>
      <w:szCs w:val="24"/>
    </w:rPr>
  </w:style>
  <w:style w:type="character" w:styleId="CommentReference">
    <w:name w:val="annotation reference"/>
    <w:basedOn w:val="DefaultParagraphFont"/>
    <w:uiPriority w:val="99"/>
    <w:semiHidden/>
    <w:unhideWhenUsed/>
    <w:rsid w:val="00E446EF"/>
    <w:rPr>
      <w:sz w:val="16"/>
      <w:szCs w:val="16"/>
    </w:rPr>
  </w:style>
  <w:style w:type="paragraph" w:styleId="CommentText">
    <w:name w:val="annotation text"/>
    <w:basedOn w:val="Normal"/>
    <w:link w:val="CommentTextChar"/>
    <w:uiPriority w:val="99"/>
    <w:semiHidden/>
    <w:unhideWhenUsed/>
    <w:rsid w:val="00E446EF"/>
    <w:rPr>
      <w:sz w:val="20"/>
      <w:szCs w:val="20"/>
    </w:rPr>
  </w:style>
  <w:style w:type="character" w:customStyle="1" w:styleId="CommentTextChar">
    <w:name w:val="Comment Text Char"/>
    <w:basedOn w:val="DefaultParagraphFont"/>
    <w:link w:val="CommentText"/>
    <w:uiPriority w:val="99"/>
    <w:semiHidden/>
    <w:rsid w:val="00E446EF"/>
    <w:rPr>
      <w:sz w:val="20"/>
      <w:szCs w:val="20"/>
    </w:rPr>
  </w:style>
  <w:style w:type="paragraph" w:styleId="CommentSubject">
    <w:name w:val="annotation subject"/>
    <w:basedOn w:val="CommentText"/>
    <w:next w:val="CommentText"/>
    <w:link w:val="CommentSubjectChar"/>
    <w:uiPriority w:val="99"/>
    <w:semiHidden/>
    <w:unhideWhenUsed/>
    <w:rsid w:val="00E446EF"/>
    <w:rPr>
      <w:b/>
      <w:bCs/>
    </w:rPr>
  </w:style>
  <w:style w:type="character" w:customStyle="1" w:styleId="CommentSubjectChar">
    <w:name w:val="Comment Subject Char"/>
    <w:basedOn w:val="CommentTextChar"/>
    <w:link w:val="CommentSubject"/>
    <w:uiPriority w:val="99"/>
    <w:semiHidden/>
    <w:rsid w:val="00E446EF"/>
    <w:rPr>
      <w:b/>
      <w:bCs/>
      <w:sz w:val="20"/>
      <w:szCs w:val="20"/>
    </w:rPr>
  </w:style>
  <w:style w:type="paragraph" w:styleId="EndnoteText">
    <w:name w:val="endnote text"/>
    <w:basedOn w:val="Normal"/>
    <w:link w:val="EndnoteTextChar"/>
    <w:uiPriority w:val="99"/>
    <w:unhideWhenUsed/>
    <w:rsid w:val="00C97570"/>
    <w:rPr>
      <w:rFonts w:ascii="Times New Roman" w:hAnsi="Times New Roman"/>
      <w:sz w:val="20"/>
      <w:szCs w:val="20"/>
    </w:rPr>
  </w:style>
  <w:style w:type="character" w:customStyle="1" w:styleId="EndnoteTextChar">
    <w:name w:val="Endnote Text Char"/>
    <w:basedOn w:val="DefaultParagraphFont"/>
    <w:link w:val="EndnoteText"/>
    <w:uiPriority w:val="99"/>
    <w:rsid w:val="00C97570"/>
    <w:rPr>
      <w:rFonts w:ascii="Times New Roman" w:hAnsi="Times New Roman"/>
      <w:sz w:val="20"/>
      <w:szCs w:val="20"/>
    </w:rPr>
  </w:style>
  <w:style w:type="character" w:styleId="EndnoteReference">
    <w:name w:val="endnote reference"/>
    <w:basedOn w:val="DefaultParagraphFont"/>
    <w:uiPriority w:val="99"/>
    <w:semiHidden/>
    <w:unhideWhenUsed/>
    <w:rsid w:val="00C97570"/>
    <w:rPr>
      <w:vertAlign w:val="superscript"/>
    </w:rPr>
  </w:style>
  <w:style w:type="paragraph" w:styleId="BodyTextFirstIndent">
    <w:name w:val="Body Text First Indent"/>
    <w:basedOn w:val="BodyText"/>
    <w:link w:val="BodyTextFirstIndentChar"/>
    <w:uiPriority w:val="99"/>
    <w:semiHidden/>
    <w:unhideWhenUsed/>
    <w:rsid w:val="001332B0"/>
    <w:pPr>
      <w:spacing w:after="0"/>
      <w:ind w:firstLine="360"/>
    </w:pPr>
  </w:style>
  <w:style w:type="character" w:customStyle="1" w:styleId="BodyTextFirstIndentChar">
    <w:name w:val="Body Text First Indent Char"/>
    <w:basedOn w:val="BodyTextChar"/>
    <w:link w:val="BodyTextFirstIndent"/>
    <w:uiPriority w:val="99"/>
    <w:semiHidden/>
    <w:rsid w:val="001332B0"/>
    <w:rPr>
      <w:rFonts w:ascii="Times New Roman" w:hAnsi="Times New Roman"/>
      <w:sz w:val="25"/>
    </w:rPr>
  </w:style>
  <w:style w:type="paragraph" w:styleId="BodyTextIndent2">
    <w:name w:val="Body Text Indent 2"/>
    <w:basedOn w:val="Normal"/>
    <w:link w:val="BodyTextIndent2Char"/>
    <w:uiPriority w:val="99"/>
    <w:semiHidden/>
    <w:unhideWhenUsed/>
    <w:rsid w:val="008F0750"/>
    <w:pPr>
      <w:spacing w:after="120" w:line="480" w:lineRule="auto"/>
      <w:ind w:left="360"/>
    </w:pPr>
  </w:style>
  <w:style w:type="character" w:customStyle="1" w:styleId="BodyTextIndent2Char">
    <w:name w:val="Body Text Indent 2 Char"/>
    <w:basedOn w:val="DefaultParagraphFont"/>
    <w:link w:val="BodyTextIndent2"/>
    <w:uiPriority w:val="99"/>
    <w:semiHidden/>
    <w:rsid w:val="008F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4867">
      <w:bodyDiv w:val="1"/>
      <w:marLeft w:val="0"/>
      <w:marRight w:val="0"/>
      <w:marTop w:val="0"/>
      <w:marBottom w:val="0"/>
      <w:divBdr>
        <w:top w:val="none" w:sz="0" w:space="0" w:color="auto"/>
        <w:left w:val="none" w:sz="0" w:space="0" w:color="auto"/>
        <w:bottom w:val="none" w:sz="0" w:space="0" w:color="auto"/>
        <w:right w:val="none" w:sz="0" w:space="0" w:color="auto"/>
      </w:divBdr>
    </w:div>
    <w:div w:id="962806562">
      <w:bodyDiv w:val="1"/>
      <w:marLeft w:val="0"/>
      <w:marRight w:val="0"/>
      <w:marTop w:val="0"/>
      <w:marBottom w:val="0"/>
      <w:divBdr>
        <w:top w:val="none" w:sz="0" w:space="0" w:color="auto"/>
        <w:left w:val="none" w:sz="0" w:space="0" w:color="auto"/>
        <w:bottom w:val="none" w:sz="0" w:space="0" w:color="auto"/>
        <w:right w:val="none" w:sz="0" w:space="0" w:color="auto"/>
      </w:divBdr>
    </w:div>
    <w:div w:id="1852254329">
      <w:bodyDiv w:val="1"/>
      <w:marLeft w:val="0"/>
      <w:marRight w:val="0"/>
      <w:marTop w:val="0"/>
      <w:marBottom w:val="0"/>
      <w:divBdr>
        <w:top w:val="none" w:sz="0" w:space="0" w:color="auto"/>
        <w:left w:val="none" w:sz="0" w:space="0" w:color="auto"/>
        <w:bottom w:val="none" w:sz="0" w:space="0" w:color="auto"/>
        <w:right w:val="none" w:sz="0" w:space="0" w:color="auto"/>
      </w:divBdr>
    </w:div>
    <w:div w:id="2025399142">
      <w:bodyDiv w:val="1"/>
      <w:marLeft w:val="0"/>
      <w:marRight w:val="0"/>
      <w:marTop w:val="0"/>
      <w:marBottom w:val="0"/>
      <w:divBdr>
        <w:top w:val="none" w:sz="0" w:space="0" w:color="auto"/>
        <w:left w:val="none" w:sz="0" w:space="0" w:color="auto"/>
        <w:bottom w:val="none" w:sz="0" w:space="0" w:color="auto"/>
        <w:right w:val="none" w:sz="0" w:space="0" w:color="auto"/>
      </w:divBdr>
    </w:div>
    <w:div w:id="20646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artin@thompsonco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bearden@thompsoncoe.com" TargetMode="External"/><Relationship Id="rId4" Type="http://schemas.openxmlformats.org/officeDocument/2006/relationships/settings" Target="settings.xml"/><Relationship Id="rId9" Type="http://schemas.openxmlformats.org/officeDocument/2006/relationships/hyperlink" Target="mailto:cculver@thompsonco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HB%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3AAF-6C7F-4FE1-BA93-BA5AAA16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3</Pages>
  <Words>8017</Words>
  <Characters>45698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2019-11-25T16:36:00Z</dcterms:created>
  <dcterms:modified xsi:type="dcterms:W3CDTF">2019-11-25T16:36:00Z</dcterms:modified>
</cp:coreProperties>
</file>